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835E5EB">
      <w:pPr>
        <w:spacing w:line="580" w:lineRule="exact"/>
        <w:jc w:val="center"/>
        <w:rPr>
          <w:rFonts w:ascii="方正小标宋简体" w:hAnsi="黑体" w:eastAsia="方正小标宋简体"/>
          <w:kern w:val="44"/>
          <w:sz w:val="44"/>
          <w:szCs w:val="44"/>
          <w:highlight w:val="none"/>
        </w:rPr>
      </w:pPr>
      <w:r>
        <w:rPr>
          <w:rFonts w:hint="eastAsia" w:ascii="方正小标宋简体" w:hAnsi="黑体" w:eastAsia="方正小标宋简体"/>
          <w:kern w:val="44"/>
          <w:sz w:val="44"/>
          <w:szCs w:val="44"/>
          <w:highlight w:val="none"/>
        </w:rPr>
        <w:t>202</w:t>
      </w:r>
      <w:r>
        <w:rPr>
          <w:rFonts w:hint="eastAsia" w:ascii="方正小标宋简体" w:hAnsi="黑体" w:eastAsia="方正小标宋简体"/>
          <w:kern w:val="44"/>
          <w:sz w:val="44"/>
          <w:szCs w:val="44"/>
          <w:highlight w:val="none"/>
          <w:lang w:val="en-US" w:eastAsia="zh-CN"/>
        </w:rPr>
        <w:t>5</w:t>
      </w:r>
      <w:r>
        <w:rPr>
          <w:rFonts w:hint="eastAsia" w:ascii="方正小标宋简体" w:hAnsi="黑体" w:eastAsia="方正小标宋简体"/>
          <w:kern w:val="44"/>
          <w:sz w:val="44"/>
          <w:szCs w:val="44"/>
          <w:highlight w:val="none"/>
        </w:rPr>
        <w:t>年禅城区公办初中招生对口直升方案</w:t>
      </w:r>
    </w:p>
    <w:p w14:paraId="4DA2A591">
      <w:pPr>
        <w:spacing w:line="580" w:lineRule="exact"/>
        <w:ind w:firstLine="640" w:firstLineChars="200"/>
        <w:rPr>
          <w:rFonts w:ascii="仿宋_GB2312" w:hAnsi="仿宋_GB2312" w:eastAsia="仿宋_GB2312" w:cs="仿宋_GB2312"/>
          <w:sz w:val="32"/>
          <w:szCs w:val="32"/>
          <w:highlight w:val="none"/>
        </w:rPr>
      </w:pPr>
    </w:p>
    <w:p w14:paraId="7D84272A">
      <w:pPr>
        <w:spacing w:line="58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5</w:t>
      </w:r>
      <w:r>
        <w:rPr>
          <w:rFonts w:hint="eastAsia" w:ascii="仿宋_GB2312" w:hAnsi="仿宋_GB2312" w:eastAsia="仿宋_GB2312" w:cs="仿宋_GB2312"/>
          <w:sz w:val="32"/>
          <w:szCs w:val="32"/>
          <w:highlight w:val="none"/>
        </w:rPr>
        <w:t>年，我区继续实行部分小学应届毕业生对口直升公办初中工作，具体方案如下：</w:t>
      </w:r>
      <w:bookmarkStart w:id="0" w:name="_GoBack"/>
      <w:bookmarkEnd w:id="0"/>
    </w:p>
    <w:p w14:paraId="356659FB">
      <w:pPr>
        <w:spacing w:line="580" w:lineRule="exact"/>
        <w:ind w:firstLine="640" w:firstLineChars="200"/>
        <w:rPr>
          <w:rFonts w:ascii="黑体" w:hAnsi="黑体" w:eastAsia="黑体"/>
          <w:sz w:val="32"/>
          <w:szCs w:val="32"/>
          <w:highlight w:val="none"/>
        </w:rPr>
      </w:pPr>
      <w:r>
        <w:rPr>
          <w:rFonts w:hint="eastAsia" w:ascii="黑体" w:hAnsi="黑体" w:eastAsia="黑体"/>
          <w:sz w:val="32"/>
          <w:szCs w:val="32"/>
          <w:highlight w:val="none"/>
        </w:rPr>
        <w:t>一、对口直升学校</w:t>
      </w:r>
    </w:p>
    <w:p w14:paraId="76BD28BB">
      <w:pPr>
        <w:spacing w:line="58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禅城</w:t>
      </w:r>
      <w:r>
        <w:rPr>
          <w:rFonts w:hint="eastAsia" w:ascii="仿宋_GB2312" w:hAnsi="仿宋_GB2312" w:eastAsia="仿宋_GB2312" w:cs="仿宋_GB2312"/>
          <w:sz w:val="32"/>
          <w:szCs w:val="32"/>
          <w:highlight w:val="none"/>
        </w:rPr>
        <w:t>区部分小学应届毕业生对口直升该片区初中（各对口小学和初中见附</w:t>
      </w:r>
      <w:r>
        <w:rPr>
          <w:rFonts w:hint="eastAsia" w:ascii="仿宋_GB2312" w:hAnsi="仿宋_GB2312" w:eastAsia="仿宋_GB2312" w:cs="仿宋_GB2312"/>
          <w:sz w:val="32"/>
          <w:szCs w:val="32"/>
          <w:highlight w:val="none"/>
          <w:lang w:val="en-US" w:eastAsia="zh-CN"/>
        </w:rPr>
        <w:t>件</w:t>
      </w:r>
      <w:r>
        <w:rPr>
          <w:rFonts w:hint="eastAsia" w:ascii="仿宋_GB2312" w:hAnsi="仿宋_GB2312" w:eastAsia="仿宋_GB2312" w:cs="仿宋_GB2312"/>
          <w:sz w:val="32"/>
          <w:szCs w:val="32"/>
          <w:highlight w:val="none"/>
        </w:rPr>
        <w:t>）。</w:t>
      </w:r>
    </w:p>
    <w:p w14:paraId="00A52D97">
      <w:pPr>
        <w:spacing w:line="580" w:lineRule="exact"/>
        <w:ind w:firstLine="640" w:firstLineChars="200"/>
        <w:rPr>
          <w:rFonts w:ascii="黑体" w:hAnsi="黑体" w:eastAsia="黑体"/>
          <w:sz w:val="32"/>
          <w:szCs w:val="32"/>
          <w:highlight w:val="none"/>
        </w:rPr>
      </w:pPr>
      <w:r>
        <w:rPr>
          <w:rFonts w:hint="eastAsia" w:ascii="黑体" w:hAnsi="黑体" w:eastAsia="黑体"/>
          <w:sz w:val="32"/>
          <w:szCs w:val="32"/>
          <w:highlight w:val="none"/>
        </w:rPr>
        <w:t>二、对口直升报名条件</w:t>
      </w:r>
    </w:p>
    <w:p w14:paraId="3637FF29">
      <w:pPr>
        <w:spacing w:line="58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学生必须是实行对口直升小学的应届毕业生，且具有该学校学籍，户籍生可直接参与对口直升，</w:t>
      </w:r>
      <w:r>
        <w:rPr>
          <w:rFonts w:hint="eastAsia" w:ascii="仿宋_GB2312" w:hAnsi="仿宋_GB2312" w:eastAsia="仿宋_GB2312" w:cs="仿宋_GB2312"/>
          <w:sz w:val="32"/>
          <w:szCs w:val="32"/>
          <w:highlight w:val="none"/>
          <w:lang w:val="en-US" w:eastAsia="zh-CN"/>
        </w:rPr>
        <w:t>非户籍生</w:t>
      </w:r>
      <w:r>
        <w:rPr>
          <w:rFonts w:hint="eastAsia" w:ascii="仿宋_GB2312" w:hAnsi="仿宋_GB2312" w:eastAsia="仿宋_GB2312" w:cs="仿宋_GB2312"/>
          <w:sz w:val="32"/>
          <w:szCs w:val="32"/>
          <w:highlight w:val="none"/>
        </w:rPr>
        <w:t>必须符合政策</w:t>
      </w:r>
      <w:r>
        <w:rPr>
          <w:rFonts w:hint="eastAsia" w:ascii="仿宋_GB2312" w:hAnsi="仿宋_GB2312" w:eastAsia="仿宋_GB2312" w:cs="仿宋_GB2312"/>
          <w:sz w:val="32"/>
          <w:szCs w:val="32"/>
          <w:highlight w:val="none"/>
          <w:lang w:val="en-US" w:eastAsia="zh-CN"/>
        </w:rPr>
        <w:t>生</w:t>
      </w:r>
      <w:r>
        <w:rPr>
          <w:rFonts w:hint="eastAsia" w:ascii="仿宋_GB2312" w:hAnsi="仿宋_GB2312" w:eastAsia="仿宋_GB2312" w:cs="仿宋_GB2312"/>
          <w:sz w:val="32"/>
          <w:szCs w:val="32"/>
          <w:highlight w:val="none"/>
        </w:rPr>
        <w:t>条件才可直升对口初中。不具备上述条件的学生，不予参加对口直升。</w:t>
      </w:r>
    </w:p>
    <w:p w14:paraId="65DB802A">
      <w:pPr>
        <w:spacing w:line="580" w:lineRule="exact"/>
        <w:ind w:firstLine="640" w:firstLineChars="200"/>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b w:val="0"/>
          <w:bCs w:val="0"/>
          <w:sz w:val="32"/>
          <w:szCs w:val="32"/>
          <w:highlight w:val="none"/>
          <w:lang w:eastAsia="zh-CN"/>
        </w:rPr>
        <w:t>该对口直升报名条件自2020年起公布，</w:t>
      </w:r>
      <w:r>
        <w:rPr>
          <w:rFonts w:hint="eastAsia" w:ascii="仿宋_GB2312" w:hAnsi="仿宋_GB2312" w:eastAsia="仿宋_GB2312" w:cs="仿宋_GB2312"/>
          <w:b w:val="0"/>
          <w:bCs w:val="0"/>
          <w:sz w:val="32"/>
          <w:szCs w:val="32"/>
          <w:highlight w:val="none"/>
          <w:lang w:val="en-US" w:eastAsia="zh-CN"/>
        </w:rPr>
        <w:t>将</w:t>
      </w:r>
      <w:r>
        <w:rPr>
          <w:rFonts w:hint="eastAsia" w:ascii="仿宋_GB2312" w:hAnsi="仿宋_GB2312" w:eastAsia="仿宋_GB2312" w:cs="仿宋_GB2312"/>
          <w:b w:val="0"/>
          <w:bCs w:val="0"/>
          <w:sz w:val="32"/>
          <w:szCs w:val="32"/>
          <w:highlight w:val="none"/>
          <w:lang w:eastAsia="zh-CN"/>
        </w:rPr>
        <w:t>于202</w:t>
      </w:r>
      <w:r>
        <w:rPr>
          <w:rFonts w:hint="eastAsia" w:ascii="仿宋_GB2312" w:hAnsi="仿宋_GB2312" w:eastAsia="仿宋_GB2312" w:cs="仿宋_GB2312"/>
          <w:b w:val="0"/>
          <w:bCs w:val="0"/>
          <w:sz w:val="32"/>
          <w:szCs w:val="32"/>
          <w:highlight w:val="none"/>
          <w:lang w:val="en-US" w:eastAsia="zh-CN"/>
        </w:rPr>
        <w:t>6</w:t>
      </w:r>
      <w:r>
        <w:rPr>
          <w:rFonts w:hint="eastAsia" w:ascii="仿宋_GB2312" w:hAnsi="仿宋_GB2312" w:eastAsia="仿宋_GB2312" w:cs="仿宋_GB2312"/>
          <w:b w:val="0"/>
          <w:bCs w:val="0"/>
          <w:sz w:val="32"/>
          <w:szCs w:val="32"/>
          <w:highlight w:val="none"/>
          <w:lang w:eastAsia="zh-CN"/>
        </w:rPr>
        <w:t>年正式实行。202</w:t>
      </w:r>
      <w:r>
        <w:rPr>
          <w:rFonts w:hint="eastAsia" w:ascii="仿宋_GB2312" w:hAnsi="仿宋_GB2312" w:eastAsia="仿宋_GB2312" w:cs="仿宋_GB2312"/>
          <w:b w:val="0"/>
          <w:bCs w:val="0"/>
          <w:sz w:val="32"/>
          <w:szCs w:val="32"/>
          <w:highlight w:val="none"/>
          <w:lang w:val="en-US" w:eastAsia="zh-CN"/>
        </w:rPr>
        <w:t>5</w:t>
      </w:r>
      <w:r>
        <w:rPr>
          <w:rFonts w:hint="eastAsia" w:ascii="仿宋_GB2312" w:hAnsi="仿宋_GB2312" w:eastAsia="仿宋_GB2312" w:cs="仿宋_GB2312"/>
          <w:b w:val="0"/>
          <w:bCs w:val="0"/>
          <w:sz w:val="32"/>
          <w:szCs w:val="32"/>
          <w:highlight w:val="none"/>
          <w:lang w:eastAsia="zh-CN"/>
        </w:rPr>
        <w:t>年</w:t>
      </w:r>
      <w:r>
        <w:rPr>
          <w:rFonts w:hint="eastAsia" w:ascii="仿宋_GB2312" w:hAnsi="仿宋_GB2312" w:eastAsia="仿宋_GB2312" w:cs="仿宋_GB2312"/>
          <w:b w:val="0"/>
          <w:bCs w:val="0"/>
          <w:sz w:val="32"/>
          <w:szCs w:val="32"/>
          <w:highlight w:val="none"/>
          <w:lang w:val="en-US" w:eastAsia="zh-CN"/>
        </w:rPr>
        <w:t>继续执行</w:t>
      </w:r>
      <w:r>
        <w:rPr>
          <w:rFonts w:hint="eastAsia" w:ascii="仿宋_GB2312" w:hAnsi="仿宋_GB2312" w:eastAsia="仿宋_GB2312" w:cs="仿宋_GB2312"/>
          <w:b w:val="0"/>
          <w:bCs w:val="0"/>
          <w:sz w:val="32"/>
          <w:szCs w:val="32"/>
          <w:highlight w:val="none"/>
        </w:rPr>
        <w:t>原对口直升政策</w:t>
      </w:r>
      <w:r>
        <w:rPr>
          <w:rFonts w:hint="eastAsia" w:ascii="仿宋_GB2312" w:hAnsi="仿宋_GB2312" w:eastAsia="仿宋_GB2312" w:cs="仿宋_GB2312"/>
          <w:b w:val="0"/>
          <w:bCs w:val="0"/>
          <w:sz w:val="32"/>
          <w:szCs w:val="32"/>
          <w:highlight w:val="none"/>
          <w:lang w:eastAsia="zh-CN"/>
        </w:rPr>
        <w:t>。</w:t>
      </w:r>
    </w:p>
    <w:p w14:paraId="4A8B852B">
      <w:pPr>
        <w:spacing w:line="58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b w:val="0"/>
          <w:bCs w:val="0"/>
          <w:sz w:val="32"/>
          <w:szCs w:val="32"/>
          <w:highlight w:val="none"/>
        </w:rPr>
        <w:t>原对口直升政策：</w:t>
      </w:r>
      <w:r>
        <w:rPr>
          <w:rFonts w:hint="eastAsia" w:ascii="仿宋_GB2312" w:hAnsi="仿宋_GB2312" w:eastAsia="仿宋_GB2312" w:cs="仿宋_GB2312"/>
          <w:sz w:val="32"/>
          <w:szCs w:val="32"/>
          <w:highlight w:val="none"/>
        </w:rPr>
        <w:t>学生是实行对口直升小学的应届毕业生，且具有该学校连续6年学籍的户籍生</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政策生和积分生</w:t>
      </w:r>
      <w:r>
        <w:rPr>
          <w:rFonts w:hint="eastAsia" w:ascii="仿宋_GB2312" w:hAnsi="仿宋_GB2312" w:eastAsia="仿宋_GB2312" w:cs="仿宋_GB2312"/>
          <w:sz w:val="32"/>
          <w:szCs w:val="32"/>
          <w:highlight w:val="none"/>
        </w:rPr>
        <w:t>，符合原对口直升政策条件的户籍生</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政策生和积分生</w:t>
      </w:r>
      <w:r>
        <w:rPr>
          <w:rFonts w:hint="eastAsia" w:ascii="仿宋_GB2312" w:hAnsi="仿宋_GB2312" w:eastAsia="仿宋_GB2312" w:cs="仿宋_GB2312"/>
          <w:sz w:val="32"/>
          <w:szCs w:val="32"/>
          <w:highlight w:val="none"/>
        </w:rPr>
        <w:t>升读初中时不需验核学生户籍、房产、居住、社保等入学信息。符合对口直升条件的</w:t>
      </w:r>
      <w:r>
        <w:rPr>
          <w:rFonts w:hint="eastAsia" w:ascii="仿宋_GB2312" w:hAnsi="仿宋_GB2312" w:eastAsia="仿宋_GB2312" w:cs="仿宋_GB2312"/>
          <w:sz w:val="32"/>
          <w:szCs w:val="32"/>
          <w:highlight w:val="none"/>
          <w:lang w:val="en-US" w:eastAsia="zh-CN"/>
        </w:rPr>
        <w:t>积分</w:t>
      </w:r>
      <w:r>
        <w:rPr>
          <w:rFonts w:hint="eastAsia" w:ascii="仿宋_GB2312" w:hAnsi="仿宋_GB2312" w:eastAsia="仿宋_GB2312" w:cs="仿宋_GB2312"/>
          <w:sz w:val="32"/>
          <w:szCs w:val="32"/>
          <w:highlight w:val="none"/>
        </w:rPr>
        <w:t>生无需办理积分入学申请。不具备上述条件的学生，不予参加对口直升。</w:t>
      </w:r>
    </w:p>
    <w:p w14:paraId="4C151A1C">
      <w:pPr>
        <w:spacing w:line="580" w:lineRule="exact"/>
        <w:ind w:firstLine="640" w:firstLineChars="200"/>
        <w:rPr>
          <w:rFonts w:ascii="黑体" w:hAnsi="黑体" w:eastAsia="黑体"/>
          <w:sz w:val="32"/>
          <w:szCs w:val="32"/>
          <w:highlight w:val="none"/>
        </w:rPr>
      </w:pPr>
      <w:r>
        <w:rPr>
          <w:rFonts w:hint="eastAsia" w:ascii="黑体" w:hAnsi="黑体" w:eastAsia="黑体"/>
          <w:sz w:val="32"/>
          <w:szCs w:val="32"/>
          <w:highlight w:val="none"/>
        </w:rPr>
        <w:t>三、对口直升入学程序</w:t>
      </w:r>
    </w:p>
    <w:p w14:paraId="27767A49">
      <w:pPr>
        <w:spacing w:line="58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申请对口直升的小学应届毕业生必须参加网上报名，网上报名时间为</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lang w:val="en-US" w:eastAsia="zh-CN"/>
        </w:rPr>
        <w:t>26</w:t>
      </w:r>
      <w:r>
        <w:rPr>
          <w:rFonts w:hint="eastAsia" w:ascii="仿宋_GB2312" w:hAnsi="仿宋_GB2312" w:eastAsia="仿宋_GB2312" w:cs="仿宋_GB2312"/>
          <w:sz w:val="32"/>
          <w:szCs w:val="32"/>
          <w:highlight w:val="none"/>
        </w:rPr>
        <w:t>日</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lang w:val="en-US" w:eastAsia="zh-CN"/>
        </w:rPr>
        <w:t>31</w:t>
      </w:r>
      <w:r>
        <w:rPr>
          <w:rFonts w:hint="eastAsia" w:ascii="仿宋_GB2312" w:hAnsi="仿宋_GB2312" w:eastAsia="仿宋_GB2312" w:cs="仿宋_GB2312"/>
          <w:sz w:val="32"/>
          <w:szCs w:val="32"/>
          <w:highlight w:val="none"/>
        </w:rPr>
        <w:t>日。网上报名时“申请入学类型”选择“对口直升户籍生”或“对口直升借读生”，家长务必保证所填报家庭信息及学籍信息准确无误，且真实有效。如发现弄虚作假，取消其录取资格。</w:t>
      </w:r>
    </w:p>
    <w:p w14:paraId="4D999E00">
      <w:pPr>
        <w:spacing w:line="58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区教育局</w:t>
      </w:r>
      <w:r>
        <w:rPr>
          <w:rFonts w:hint="eastAsia" w:ascii="仿宋_GB2312" w:hAnsi="仿宋_GB2312" w:eastAsia="仿宋_GB2312" w:cs="仿宋_GB2312"/>
          <w:sz w:val="32"/>
          <w:szCs w:val="32"/>
          <w:highlight w:val="none"/>
        </w:rPr>
        <w:t>核对有关信息后，统一录取到对口初中。</w:t>
      </w:r>
    </w:p>
    <w:p w14:paraId="41D7CB1D">
      <w:pPr>
        <w:spacing w:line="58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已选择参加对口直升的学生，</w:t>
      </w:r>
      <w:r>
        <w:rPr>
          <w:rFonts w:hint="eastAsia" w:ascii="仿宋_GB2312" w:hAnsi="仿宋_GB2312" w:eastAsia="仿宋_GB2312" w:cs="仿宋_GB2312"/>
          <w:sz w:val="32"/>
          <w:szCs w:val="32"/>
          <w:highlight w:val="none"/>
          <w:lang w:val="en-US" w:eastAsia="zh-CN"/>
        </w:rPr>
        <w:t>区教育局</w:t>
      </w:r>
      <w:r>
        <w:rPr>
          <w:rFonts w:hint="eastAsia" w:ascii="仿宋_GB2312" w:hAnsi="仿宋_GB2312" w:eastAsia="仿宋_GB2312" w:cs="仿宋_GB2312"/>
          <w:sz w:val="32"/>
          <w:szCs w:val="32"/>
          <w:highlight w:val="none"/>
        </w:rPr>
        <w:t>将不再按其地段安排学位。</w:t>
      </w:r>
    </w:p>
    <w:p w14:paraId="6364922F">
      <w:pPr>
        <w:spacing w:line="58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初中按照录取名单安排学生注册。</w:t>
      </w:r>
    </w:p>
    <w:p w14:paraId="234DA62A">
      <w:pPr>
        <w:spacing w:line="580" w:lineRule="exact"/>
        <w:ind w:firstLine="640" w:firstLineChars="200"/>
        <w:rPr>
          <w:rFonts w:ascii="黑体" w:hAnsi="黑体" w:eastAsia="黑体"/>
          <w:sz w:val="32"/>
          <w:szCs w:val="32"/>
          <w:highlight w:val="none"/>
        </w:rPr>
      </w:pPr>
      <w:r>
        <w:rPr>
          <w:rFonts w:hint="eastAsia" w:ascii="黑体" w:hAnsi="黑体" w:eastAsia="黑体"/>
          <w:sz w:val="32"/>
          <w:szCs w:val="32"/>
          <w:highlight w:val="none"/>
        </w:rPr>
        <w:t>四、不参加对口直升或不符合对口直升条件的学生按我区招生政策申请入读</w:t>
      </w:r>
    </w:p>
    <w:p w14:paraId="6C7097A2">
      <w:pPr>
        <w:spacing w:line="580" w:lineRule="exact"/>
        <w:ind w:firstLine="640" w:firstLineChars="200"/>
        <w:rPr>
          <w:rFonts w:ascii="黑体" w:hAnsi="黑体" w:eastAsia="黑体"/>
          <w:sz w:val="32"/>
          <w:szCs w:val="32"/>
          <w:highlight w:val="none"/>
        </w:rPr>
      </w:pPr>
      <w:r>
        <w:rPr>
          <w:rFonts w:hint="eastAsia" w:ascii="黑体" w:hAnsi="黑体" w:eastAsia="黑体"/>
          <w:sz w:val="32"/>
          <w:szCs w:val="32"/>
          <w:highlight w:val="none"/>
        </w:rPr>
        <w:t>五、南庄</w:t>
      </w:r>
      <w:r>
        <w:rPr>
          <w:rFonts w:hint="eastAsia" w:ascii="黑体" w:hAnsi="黑体" w:eastAsia="黑体"/>
          <w:sz w:val="32"/>
          <w:szCs w:val="32"/>
          <w:highlight w:val="none"/>
          <w:lang w:val="en-US" w:eastAsia="zh-CN"/>
        </w:rPr>
        <w:t>镇</w:t>
      </w:r>
      <w:r>
        <w:rPr>
          <w:rFonts w:hint="eastAsia" w:ascii="黑体" w:hAnsi="黑体" w:eastAsia="黑体"/>
          <w:sz w:val="32"/>
          <w:szCs w:val="32"/>
          <w:highlight w:val="none"/>
        </w:rPr>
        <w:t>中心小学的对口直升</w:t>
      </w:r>
    </w:p>
    <w:p w14:paraId="0DD1B916">
      <w:pPr>
        <w:spacing w:line="58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（一）户籍生按户籍所属地段中学对口直升。</w:t>
      </w:r>
    </w:p>
    <w:p w14:paraId="5D7ADABC">
      <w:pPr>
        <w:spacing w:line="58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（二）</w:t>
      </w:r>
      <w:r>
        <w:rPr>
          <w:rFonts w:hint="eastAsia" w:ascii="仿宋_GB2312" w:hAnsi="仿宋_GB2312" w:eastAsia="仿宋_GB2312" w:cs="仿宋_GB2312"/>
          <w:sz w:val="32"/>
          <w:szCs w:val="32"/>
          <w:highlight w:val="none"/>
          <w:lang w:eastAsia="zh-CN"/>
        </w:rPr>
        <w:t>非户籍</w:t>
      </w:r>
      <w:r>
        <w:rPr>
          <w:rFonts w:hint="eastAsia" w:ascii="仿宋_GB2312" w:hAnsi="仿宋_GB2312" w:eastAsia="仿宋_GB2312" w:cs="仿宋_GB2312"/>
          <w:sz w:val="32"/>
          <w:szCs w:val="32"/>
          <w:highlight w:val="none"/>
        </w:rPr>
        <w:t>生按照学生实际居住地所属地段中学对口直升，网上报名时填报房产或居住证所属居委，</w:t>
      </w:r>
      <w:r>
        <w:rPr>
          <w:rFonts w:hint="eastAsia" w:ascii="仿宋_GB2312" w:hAnsi="仿宋_GB2312" w:eastAsia="仿宋_GB2312" w:cs="仿宋_GB2312"/>
          <w:sz w:val="32"/>
          <w:szCs w:val="32"/>
          <w:highlight w:val="none"/>
          <w:lang w:val="en-US" w:eastAsia="zh-CN"/>
        </w:rPr>
        <w:t>区教育局</w:t>
      </w:r>
      <w:r>
        <w:rPr>
          <w:rFonts w:hint="eastAsia" w:ascii="仿宋_GB2312" w:hAnsi="仿宋_GB2312" w:eastAsia="仿宋_GB2312" w:cs="仿宋_GB2312"/>
          <w:sz w:val="32"/>
          <w:szCs w:val="32"/>
          <w:highlight w:val="none"/>
        </w:rPr>
        <w:t>对学生实际居住地进行比对验核，系统比对不通过的需上传房产证或居住证明，实际居住地验核通过后，由</w:t>
      </w:r>
      <w:r>
        <w:rPr>
          <w:rFonts w:hint="eastAsia" w:ascii="仿宋_GB2312" w:hAnsi="仿宋_GB2312" w:eastAsia="仿宋_GB2312" w:cs="仿宋_GB2312"/>
          <w:sz w:val="32"/>
          <w:szCs w:val="32"/>
          <w:highlight w:val="none"/>
          <w:lang w:val="en-US" w:eastAsia="zh-CN"/>
        </w:rPr>
        <w:t>区教育局</w:t>
      </w:r>
      <w:r>
        <w:rPr>
          <w:rFonts w:hint="eastAsia" w:ascii="仿宋_GB2312" w:hAnsi="仿宋_GB2312" w:eastAsia="仿宋_GB2312" w:cs="仿宋_GB2312"/>
          <w:sz w:val="32"/>
          <w:szCs w:val="32"/>
          <w:highlight w:val="none"/>
        </w:rPr>
        <w:t>录取到居住地所属地段中学。</w:t>
      </w:r>
    </w:p>
    <w:p w14:paraId="1B7E0178">
      <w:pPr>
        <w:spacing w:line="58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（三）不参加对口直升和不符合对口直升条件的学生按照第四条执行。</w:t>
      </w:r>
    </w:p>
    <w:p w14:paraId="5DC80E17">
      <w:pPr>
        <w:spacing w:line="580" w:lineRule="exact"/>
        <w:ind w:firstLine="640" w:firstLineChars="200"/>
        <w:rPr>
          <w:rFonts w:ascii="黑体" w:hAnsi="黑体" w:eastAsia="黑体"/>
          <w:sz w:val="32"/>
          <w:szCs w:val="32"/>
          <w:highlight w:val="none"/>
        </w:rPr>
      </w:pPr>
      <w:r>
        <w:rPr>
          <w:rFonts w:hint="eastAsia" w:ascii="黑体" w:hAnsi="黑体" w:eastAsia="黑体"/>
          <w:sz w:val="32"/>
          <w:szCs w:val="32"/>
          <w:highlight w:val="none"/>
        </w:rPr>
        <w:t>六、工作要求</w:t>
      </w:r>
    </w:p>
    <w:p w14:paraId="00718844">
      <w:pPr>
        <w:spacing w:line="58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（一）对口直升以学生、家长自愿为原则，由学生及家长自主选择参加对口直升或按普通生入学程序报读初中。</w:t>
      </w:r>
    </w:p>
    <w:p w14:paraId="71654297">
      <w:pPr>
        <w:spacing w:line="58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（二）不在规定时间内参加报名的学生一律不予录取，请毕业学生及家长务必按照有关规定及时完成报名手续，填报的信息必须真实有效。</w:t>
      </w:r>
    </w:p>
    <w:p w14:paraId="3DBB6D05">
      <w:pPr>
        <w:spacing w:line="58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（三）</w:t>
      </w:r>
      <w:r>
        <w:rPr>
          <w:rFonts w:hint="eastAsia" w:ascii="仿宋_GB2312" w:hAnsi="仿宋_GB2312" w:eastAsia="仿宋_GB2312" w:cs="仿宋_GB2312"/>
          <w:sz w:val="32"/>
          <w:szCs w:val="32"/>
          <w:highlight w:val="none"/>
          <w:lang w:eastAsia="zh-CN"/>
        </w:rPr>
        <w:t>区内民办小学应届毕业生不参加对口直升，按照202</w:t>
      </w:r>
      <w:r>
        <w:rPr>
          <w:rFonts w:hint="eastAsia" w:ascii="仿宋_GB2312" w:hAnsi="仿宋_GB2312" w:eastAsia="仿宋_GB2312" w:cs="仿宋_GB2312"/>
          <w:sz w:val="32"/>
          <w:szCs w:val="32"/>
          <w:highlight w:val="none"/>
          <w:lang w:val="en-US" w:eastAsia="zh-CN"/>
        </w:rPr>
        <w:t>5</w:t>
      </w:r>
      <w:r>
        <w:rPr>
          <w:rFonts w:hint="eastAsia" w:ascii="仿宋_GB2312" w:hAnsi="仿宋_GB2312" w:eastAsia="仿宋_GB2312" w:cs="仿宋_GB2312"/>
          <w:sz w:val="32"/>
          <w:szCs w:val="32"/>
          <w:highlight w:val="none"/>
          <w:lang w:eastAsia="zh-CN"/>
        </w:rPr>
        <w:t>年禅城区公办初中招生政策报读公办初中。</w:t>
      </w:r>
    </w:p>
    <w:p w14:paraId="43AD53B3">
      <w:pPr>
        <w:spacing w:line="580" w:lineRule="exact"/>
        <w:jc w:val="left"/>
        <w:rPr>
          <w:rFonts w:ascii="黑体" w:hAnsi="黑体" w:eastAsia="黑体"/>
          <w:sz w:val="32"/>
          <w:szCs w:val="32"/>
          <w:highlight w:val="none"/>
        </w:rPr>
      </w:pPr>
    </w:p>
    <w:p w14:paraId="0E2412C6">
      <w:pPr>
        <w:spacing w:line="580" w:lineRule="exact"/>
        <w:ind w:firstLine="640" w:firstLineChars="200"/>
        <w:jc w:val="left"/>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附件：</w:t>
      </w:r>
      <w:r>
        <w:rPr>
          <w:rFonts w:hint="eastAsia" w:ascii="仿宋_GB2312" w:hAnsi="仿宋_GB2312" w:eastAsia="仿宋_GB2312" w:cs="仿宋_GB2312"/>
          <w:sz w:val="32"/>
          <w:szCs w:val="32"/>
          <w:highlight w:val="none"/>
        </w:rPr>
        <w:t>佛山市禅城区小学对口直升初中一览表</w:t>
      </w:r>
    </w:p>
    <w:p w14:paraId="5A2AF8A4">
      <w:pPr>
        <w:spacing w:line="580" w:lineRule="exact"/>
        <w:jc w:val="left"/>
        <w:rPr>
          <w:rFonts w:hint="eastAsia" w:ascii="黑体" w:hAnsi="黑体" w:eastAsia="黑体"/>
          <w:sz w:val="32"/>
          <w:szCs w:val="32"/>
          <w:highlight w:val="none"/>
        </w:rPr>
      </w:pPr>
    </w:p>
    <w:p w14:paraId="135B4117">
      <w:pPr>
        <w:spacing w:line="580" w:lineRule="exact"/>
        <w:jc w:val="left"/>
        <w:rPr>
          <w:rFonts w:hint="eastAsia" w:ascii="黑体" w:hAnsi="黑体" w:eastAsia="黑体"/>
          <w:sz w:val="32"/>
          <w:szCs w:val="32"/>
          <w:highlight w:val="none"/>
        </w:rPr>
      </w:pPr>
    </w:p>
    <w:p w14:paraId="228030D8">
      <w:pPr>
        <w:spacing w:line="580" w:lineRule="exact"/>
        <w:jc w:val="left"/>
        <w:rPr>
          <w:rFonts w:hint="eastAsia" w:ascii="黑体" w:hAnsi="黑体" w:eastAsia="黑体"/>
          <w:sz w:val="32"/>
          <w:szCs w:val="32"/>
          <w:highlight w:val="none"/>
        </w:rPr>
      </w:pPr>
    </w:p>
    <w:p w14:paraId="5D40C1B7">
      <w:pPr>
        <w:spacing w:line="580" w:lineRule="exact"/>
        <w:jc w:val="left"/>
        <w:rPr>
          <w:rFonts w:hint="eastAsia" w:ascii="黑体" w:hAnsi="黑体" w:eastAsia="黑体"/>
          <w:sz w:val="32"/>
          <w:szCs w:val="32"/>
          <w:highlight w:val="none"/>
        </w:rPr>
      </w:pPr>
    </w:p>
    <w:p w14:paraId="57A36E2C">
      <w:pPr>
        <w:spacing w:line="580" w:lineRule="exact"/>
        <w:jc w:val="left"/>
        <w:rPr>
          <w:rFonts w:hint="eastAsia" w:ascii="黑体" w:hAnsi="黑体" w:eastAsia="黑体"/>
          <w:sz w:val="32"/>
          <w:szCs w:val="32"/>
          <w:highlight w:val="none"/>
        </w:rPr>
      </w:pPr>
    </w:p>
    <w:p w14:paraId="241720FF">
      <w:pPr>
        <w:spacing w:line="580" w:lineRule="exact"/>
        <w:jc w:val="left"/>
        <w:rPr>
          <w:rFonts w:hint="eastAsia" w:ascii="黑体" w:hAnsi="黑体" w:eastAsia="黑体"/>
          <w:sz w:val="32"/>
          <w:szCs w:val="32"/>
          <w:highlight w:val="none"/>
        </w:rPr>
      </w:pPr>
    </w:p>
    <w:p w14:paraId="066540A3">
      <w:pPr>
        <w:spacing w:line="580" w:lineRule="exact"/>
        <w:jc w:val="left"/>
        <w:rPr>
          <w:rFonts w:hint="eastAsia" w:ascii="黑体" w:hAnsi="黑体" w:eastAsia="黑体"/>
          <w:sz w:val="32"/>
          <w:szCs w:val="32"/>
          <w:highlight w:val="none"/>
        </w:rPr>
      </w:pPr>
    </w:p>
    <w:p w14:paraId="52786E01">
      <w:pPr>
        <w:spacing w:line="580" w:lineRule="exact"/>
        <w:jc w:val="left"/>
        <w:rPr>
          <w:rFonts w:hint="eastAsia" w:ascii="黑体" w:hAnsi="黑体" w:eastAsia="黑体"/>
          <w:sz w:val="32"/>
          <w:szCs w:val="32"/>
          <w:highlight w:val="none"/>
        </w:rPr>
      </w:pPr>
    </w:p>
    <w:p w14:paraId="2FEDD4E5">
      <w:pPr>
        <w:spacing w:line="580" w:lineRule="exact"/>
        <w:jc w:val="left"/>
        <w:rPr>
          <w:rFonts w:hint="eastAsia" w:ascii="黑体" w:hAnsi="黑体" w:eastAsia="黑体"/>
          <w:sz w:val="32"/>
          <w:szCs w:val="32"/>
          <w:highlight w:val="none"/>
        </w:rPr>
      </w:pPr>
    </w:p>
    <w:p w14:paraId="26FC4237">
      <w:pPr>
        <w:spacing w:line="580" w:lineRule="exact"/>
        <w:jc w:val="left"/>
        <w:rPr>
          <w:rFonts w:hint="eastAsia" w:ascii="黑体" w:hAnsi="黑体" w:eastAsia="黑体"/>
          <w:sz w:val="32"/>
          <w:szCs w:val="32"/>
          <w:highlight w:val="none"/>
          <w:lang w:eastAsia="zh-CN"/>
        </w:rPr>
      </w:pPr>
      <w:r>
        <w:rPr>
          <w:rFonts w:hint="eastAsia" w:ascii="黑体" w:hAnsi="黑体" w:eastAsia="黑体"/>
          <w:sz w:val="32"/>
          <w:szCs w:val="32"/>
          <w:highlight w:val="none"/>
        </w:rPr>
        <w:br w:type="page"/>
      </w:r>
      <w:r>
        <w:rPr>
          <w:rFonts w:hint="eastAsia" w:ascii="黑体" w:hAnsi="黑体" w:eastAsia="黑体"/>
          <w:sz w:val="32"/>
          <w:szCs w:val="32"/>
          <w:highlight w:val="none"/>
        </w:rPr>
        <w:t>附</w:t>
      </w:r>
      <w:r>
        <w:rPr>
          <w:rFonts w:hint="eastAsia" w:ascii="黑体" w:hAnsi="黑体" w:eastAsia="黑体"/>
          <w:sz w:val="32"/>
          <w:szCs w:val="32"/>
          <w:highlight w:val="none"/>
          <w:lang w:val="en-US" w:eastAsia="zh-CN"/>
        </w:rPr>
        <w:t>件</w:t>
      </w:r>
    </w:p>
    <w:p w14:paraId="2F4680F0">
      <w:pPr>
        <w:spacing w:line="580" w:lineRule="exact"/>
        <w:jc w:val="center"/>
        <w:rPr>
          <w:rFonts w:hint="eastAsia" w:ascii="方正小标宋简体" w:hAnsi="方正小标宋简体" w:eastAsia="方正小标宋简体" w:cs="方正小标宋简体"/>
          <w:sz w:val="44"/>
          <w:szCs w:val="44"/>
          <w:highlight w:val="none"/>
        </w:rPr>
      </w:pPr>
    </w:p>
    <w:p w14:paraId="2A32C8F8">
      <w:pPr>
        <w:spacing w:line="580" w:lineRule="exact"/>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佛山市禅城区小学对口直升初中一览表</w:t>
      </w:r>
    </w:p>
    <w:p w14:paraId="4080F2CA">
      <w:pPr>
        <w:spacing w:line="580" w:lineRule="exact"/>
        <w:jc w:val="center"/>
        <w:rPr>
          <w:rFonts w:hint="eastAsia" w:ascii="方正小标宋简体" w:hAnsi="方正小标宋简体" w:eastAsia="方正小标宋简体" w:cs="方正小标宋简体"/>
          <w:sz w:val="44"/>
          <w:szCs w:val="44"/>
          <w:highlight w:val="none"/>
        </w:rPr>
      </w:pPr>
    </w:p>
    <w:tbl>
      <w:tblPr>
        <w:tblStyle w:val="3"/>
        <w:tblW w:w="90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29"/>
        <w:gridCol w:w="4532"/>
      </w:tblGrid>
      <w:tr w14:paraId="72EC2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4529" w:type="dxa"/>
            <w:noWrap w:val="0"/>
            <w:vAlign w:val="center"/>
          </w:tcPr>
          <w:p w14:paraId="54CF1ACD">
            <w:pPr>
              <w:spacing w:line="580" w:lineRule="exact"/>
              <w:jc w:val="center"/>
              <w:rPr>
                <w:rFonts w:ascii="仿宋_GB2312" w:hAnsi="仿宋" w:eastAsia="仿宋_GB2312" w:cs="仿宋"/>
                <w:b/>
                <w:bCs/>
                <w:sz w:val="30"/>
                <w:szCs w:val="30"/>
                <w:highlight w:val="none"/>
              </w:rPr>
            </w:pPr>
            <w:r>
              <w:rPr>
                <w:rFonts w:hint="eastAsia" w:ascii="仿宋_GB2312" w:hAnsi="仿宋" w:eastAsia="仿宋_GB2312" w:cs="仿宋"/>
                <w:b/>
                <w:bCs/>
                <w:sz w:val="30"/>
                <w:szCs w:val="30"/>
                <w:highlight w:val="none"/>
              </w:rPr>
              <w:t>小学名称</w:t>
            </w:r>
          </w:p>
        </w:tc>
        <w:tc>
          <w:tcPr>
            <w:tcW w:w="4532" w:type="dxa"/>
            <w:noWrap w:val="0"/>
            <w:vAlign w:val="center"/>
          </w:tcPr>
          <w:p w14:paraId="526500D0">
            <w:pPr>
              <w:spacing w:line="580" w:lineRule="exact"/>
              <w:jc w:val="center"/>
              <w:rPr>
                <w:rFonts w:ascii="仿宋_GB2312" w:hAnsi="仿宋" w:eastAsia="仿宋_GB2312" w:cs="仿宋"/>
                <w:b/>
                <w:bCs/>
                <w:sz w:val="30"/>
                <w:szCs w:val="30"/>
                <w:highlight w:val="none"/>
              </w:rPr>
            </w:pPr>
            <w:r>
              <w:rPr>
                <w:rFonts w:hint="eastAsia" w:ascii="仿宋_GB2312" w:hAnsi="仿宋" w:eastAsia="仿宋_GB2312" w:cs="仿宋"/>
                <w:b/>
                <w:bCs/>
                <w:sz w:val="30"/>
                <w:szCs w:val="30"/>
                <w:highlight w:val="none"/>
              </w:rPr>
              <w:t>对口初中</w:t>
            </w:r>
          </w:p>
        </w:tc>
      </w:tr>
      <w:tr w14:paraId="677C1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529" w:type="dxa"/>
            <w:noWrap w:val="0"/>
            <w:vAlign w:val="center"/>
          </w:tcPr>
          <w:p w14:paraId="7F6FFFED">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上元小学</w:t>
            </w:r>
          </w:p>
        </w:tc>
        <w:tc>
          <w:tcPr>
            <w:tcW w:w="4532" w:type="dxa"/>
            <w:vMerge w:val="restart"/>
            <w:noWrap w:val="0"/>
            <w:vAlign w:val="center"/>
          </w:tcPr>
          <w:p w14:paraId="483687E0">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南庄中学</w:t>
            </w:r>
          </w:p>
        </w:tc>
      </w:tr>
      <w:tr w14:paraId="07AB5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529" w:type="dxa"/>
            <w:noWrap w:val="0"/>
            <w:vAlign w:val="center"/>
          </w:tcPr>
          <w:p w14:paraId="6464EA86">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溶洲小学</w:t>
            </w:r>
          </w:p>
        </w:tc>
        <w:tc>
          <w:tcPr>
            <w:tcW w:w="4532" w:type="dxa"/>
            <w:vMerge w:val="continue"/>
            <w:noWrap w:val="0"/>
            <w:vAlign w:val="center"/>
          </w:tcPr>
          <w:p w14:paraId="12A36E32">
            <w:pPr>
              <w:spacing w:line="620" w:lineRule="exact"/>
              <w:jc w:val="center"/>
              <w:rPr>
                <w:rFonts w:ascii="仿宋_GB2312" w:hAnsi="仿宋" w:eastAsia="仿宋_GB2312" w:cs="仿宋"/>
                <w:sz w:val="30"/>
                <w:szCs w:val="30"/>
                <w:highlight w:val="none"/>
              </w:rPr>
            </w:pPr>
          </w:p>
        </w:tc>
      </w:tr>
      <w:tr w14:paraId="71B11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529" w:type="dxa"/>
            <w:noWrap w:val="0"/>
            <w:vAlign w:val="center"/>
          </w:tcPr>
          <w:p w14:paraId="552C8ECF">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堤田小学</w:t>
            </w:r>
          </w:p>
        </w:tc>
        <w:tc>
          <w:tcPr>
            <w:tcW w:w="4532" w:type="dxa"/>
            <w:vMerge w:val="continue"/>
            <w:noWrap w:val="0"/>
            <w:vAlign w:val="center"/>
          </w:tcPr>
          <w:p w14:paraId="3C05C594">
            <w:pPr>
              <w:spacing w:line="620" w:lineRule="exact"/>
              <w:jc w:val="center"/>
              <w:rPr>
                <w:rFonts w:ascii="仿宋_GB2312" w:hAnsi="仿宋" w:eastAsia="仿宋_GB2312" w:cs="仿宋"/>
                <w:sz w:val="30"/>
                <w:szCs w:val="30"/>
                <w:highlight w:val="none"/>
              </w:rPr>
            </w:pPr>
          </w:p>
        </w:tc>
      </w:tr>
      <w:tr w14:paraId="438B5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529" w:type="dxa"/>
            <w:noWrap w:val="0"/>
            <w:vAlign w:val="center"/>
          </w:tcPr>
          <w:p w14:paraId="1C6FBF71">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罗格小学</w:t>
            </w:r>
          </w:p>
        </w:tc>
        <w:tc>
          <w:tcPr>
            <w:tcW w:w="4532" w:type="dxa"/>
            <w:vMerge w:val="continue"/>
            <w:noWrap w:val="0"/>
            <w:vAlign w:val="center"/>
          </w:tcPr>
          <w:p w14:paraId="08B6364D">
            <w:pPr>
              <w:spacing w:line="620" w:lineRule="exact"/>
              <w:jc w:val="center"/>
              <w:rPr>
                <w:rFonts w:ascii="仿宋_GB2312" w:hAnsi="仿宋" w:eastAsia="仿宋_GB2312" w:cs="仿宋"/>
                <w:sz w:val="30"/>
                <w:szCs w:val="30"/>
                <w:highlight w:val="none"/>
              </w:rPr>
            </w:pPr>
          </w:p>
        </w:tc>
      </w:tr>
      <w:tr w14:paraId="6327F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529" w:type="dxa"/>
            <w:noWrap w:val="0"/>
            <w:vAlign w:val="center"/>
          </w:tcPr>
          <w:p w14:paraId="540848B3">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罗南小学</w:t>
            </w:r>
          </w:p>
        </w:tc>
        <w:tc>
          <w:tcPr>
            <w:tcW w:w="4532" w:type="dxa"/>
            <w:vMerge w:val="restart"/>
            <w:noWrap w:val="0"/>
            <w:vAlign w:val="center"/>
          </w:tcPr>
          <w:p w14:paraId="0A75458A">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南庄三中</w:t>
            </w:r>
          </w:p>
        </w:tc>
      </w:tr>
      <w:tr w14:paraId="3C8AF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529" w:type="dxa"/>
            <w:noWrap w:val="0"/>
            <w:vAlign w:val="center"/>
          </w:tcPr>
          <w:p w14:paraId="307EC242">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南庄小学</w:t>
            </w:r>
          </w:p>
        </w:tc>
        <w:tc>
          <w:tcPr>
            <w:tcW w:w="4532" w:type="dxa"/>
            <w:vMerge w:val="continue"/>
            <w:noWrap w:val="0"/>
            <w:vAlign w:val="center"/>
          </w:tcPr>
          <w:p w14:paraId="730183CC">
            <w:pPr>
              <w:spacing w:line="620" w:lineRule="exact"/>
              <w:jc w:val="center"/>
              <w:rPr>
                <w:rFonts w:ascii="仿宋_GB2312" w:hAnsi="仿宋" w:eastAsia="仿宋_GB2312" w:cs="仿宋"/>
                <w:sz w:val="30"/>
                <w:szCs w:val="30"/>
                <w:highlight w:val="none"/>
              </w:rPr>
            </w:pPr>
          </w:p>
        </w:tc>
      </w:tr>
      <w:tr w14:paraId="2913C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529" w:type="dxa"/>
            <w:noWrap w:val="0"/>
            <w:vAlign w:val="center"/>
          </w:tcPr>
          <w:p w14:paraId="67956805">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紫南小学</w:t>
            </w:r>
          </w:p>
        </w:tc>
        <w:tc>
          <w:tcPr>
            <w:tcW w:w="4532" w:type="dxa"/>
            <w:vMerge w:val="continue"/>
            <w:noWrap w:val="0"/>
            <w:vAlign w:val="center"/>
          </w:tcPr>
          <w:p w14:paraId="6FB8E65F">
            <w:pPr>
              <w:spacing w:line="620" w:lineRule="exact"/>
              <w:jc w:val="center"/>
              <w:rPr>
                <w:rFonts w:ascii="仿宋_GB2312" w:hAnsi="仿宋" w:eastAsia="仿宋_GB2312" w:cs="仿宋"/>
                <w:sz w:val="30"/>
                <w:szCs w:val="30"/>
                <w:highlight w:val="none"/>
              </w:rPr>
            </w:pPr>
          </w:p>
        </w:tc>
      </w:tr>
      <w:tr w14:paraId="7B73D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529" w:type="dxa"/>
            <w:noWrap w:val="0"/>
            <w:vAlign w:val="center"/>
          </w:tcPr>
          <w:p w14:paraId="65CB259A">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龙津小学</w:t>
            </w:r>
          </w:p>
        </w:tc>
        <w:tc>
          <w:tcPr>
            <w:tcW w:w="4532" w:type="dxa"/>
            <w:vMerge w:val="restart"/>
            <w:noWrap w:val="0"/>
            <w:vAlign w:val="center"/>
          </w:tcPr>
          <w:p w14:paraId="770084D0">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吉利中学</w:t>
            </w:r>
          </w:p>
        </w:tc>
      </w:tr>
      <w:tr w14:paraId="5C3E27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529" w:type="dxa"/>
            <w:noWrap w:val="0"/>
            <w:vAlign w:val="center"/>
          </w:tcPr>
          <w:p w14:paraId="0E1C935B">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醒群小学</w:t>
            </w:r>
          </w:p>
        </w:tc>
        <w:tc>
          <w:tcPr>
            <w:tcW w:w="4532" w:type="dxa"/>
            <w:vMerge w:val="continue"/>
            <w:noWrap w:val="0"/>
            <w:vAlign w:val="center"/>
          </w:tcPr>
          <w:p w14:paraId="5DBE5579">
            <w:pPr>
              <w:spacing w:line="620" w:lineRule="exact"/>
              <w:jc w:val="center"/>
              <w:rPr>
                <w:rFonts w:ascii="仿宋_GB2312" w:hAnsi="仿宋" w:eastAsia="仿宋_GB2312" w:cs="仿宋"/>
                <w:sz w:val="30"/>
                <w:szCs w:val="30"/>
                <w:highlight w:val="none"/>
              </w:rPr>
            </w:pPr>
          </w:p>
        </w:tc>
      </w:tr>
      <w:tr w14:paraId="55188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529" w:type="dxa"/>
            <w:noWrap w:val="0"/>
            <w:vAlign w:val="center"/>
          </w:tcPr>
          <w:p w14:paraId="3496C613">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吉利小学</w:t>
            </w:r>
          </w:p>
        </w:tc>
        <w:tc>
          <w:tcPr>
            <w:tcW w:w="4532" w:type="dxa"/>
            <w:vMerge w:val="continue"/>
            <w:noWrap w:val="0"/>
            <w:vAlign w:val="center"/>
          </w:tcPr>
          <w:p w14:paraId="1D3027B9">
            <w:pPr>
              <w:spacing w:line="620" w:lineRule="exact"/>
              <w:jc w:val="center"/>
              <w:rPr>
                <w:rFonts w:ascii="仿宋_GB2312" w:hAnsi="仿宋" w:eastAsia="仿宋_GB2312" w:cs="仿宋"/>
                <w:sz w:val="30"/>
                <w:szCs w:val="30"/>
                <w:highlight w:val="none"/>
              </w:rPr>
            </w:pPr>
          </w:p>
        </w:tc>
      </w:tr>
      <w:tr w14:paraId="656E1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529" w:type="dxa"/>
            <w:noWrap w:val="0"/>
            <w:vAlign w:val="center"/>
          </w:tcPr>
          <w:p w14:paraId="326EAFA1">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梧村小学</w:t>
            </w:r>
          </w:p>
        </w:tc>
        <w:tc>
          <w:tcPr>
            <w:tcW w:w="4532" w:type="dxa"/>
            <w:vMerge w:val="continue"/>
            <w:noWrap w:val="0"/>
            <w:vAlign w:val="center"/>
          </w:tcPr>
          <w:p w14:paraId="62D88292">
            <w:pPr>
              <w:spacing w:line="620" w:lineRule="exact"/>
              <w:jc w:val="center"/>
              <w:rPr>
                <w:rFonts w:ascii="仿宋_GB2312" w:hAnsi="仿宋" w:eastAsia="仿宋_GB2312" w:cs="仿宋"/>
                <w:sz w:val="30"/>
                <w:szCs w:val="30"/>
                <w:highlight w:val="none"/>
              </w:rPr>
            </w:pPr>
          </w:p>
        </w:tc>
      </w:tr>
      <w:tr w14:paraId="23B30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529" w:type="dxa"/>
            <w:noWrap w:val="0"/>
            <w:vAlign w:val="center"/>
          </w:tcPr>
          <w:p w14:paraId="146458D5">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河滘小学</w:t>
            </w:r>
          </w:p>
        </w:tc>
        <w:tc>
          <w:tcPr>
            <w:tcW w:w="4532" w:type="dxa"/>
            <w:vMerge w:val="continue"/>
            <w:noWrap w:val="0"/>
            <w:vAlign w:val="center"/>
          </w:tcPr>
          <w:p w14:paraId="2E7D37A2">
            <w:pPr>
              <w:spacing w:line="620" w:lineRule="exact"/>
              <w:jc w:val="center"/>
              <w:rPr>
                <w:rFonts w:ascii="仿宋_GB2312" w:hAnsi="仿宋" w:eastAsia="仿宋_GB2312" w:cs="仿宋"/>
                <w:sz w:val="30"/>
                <w:szCs w:val="30"/>
                <w:highlight w:val="none"/>
              </w:rPr>
            </w:pPr>
          </w:p>
        </w:tc>
      </w:tr>
      <w:tr w14:paraId="0BE83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529" w:type="dxa"/>
            <w:noWrap w:val="0"/>
            <w:vAlign w:val="center"/>
          </w:tcPr>
          <w:p w14:paraId="37526731">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杏头小学</w:t>
            </w:r>
          </w:p>
        </w:tc>
        <w:tc>
          <w:tcPr>
            <w:tcW w:w="4532" w:type="dxa"/>
            <w:vMerge w:val="continue"/>
            <w:noWrap w:val="0"/>
            <w:vAlign w:val="center"/>
          </w:tcPr>
          <w:p w14:paraId="09D80EE0">
            <w:pPr>
              <w:spacing w:line="620" w:lineRule="exact"/>
              <w:jc w:val="center"/>
              <w:rPr>
                <w:rFonts w:ascii="仿宋_GB2312" w:hAnsi="仿宋" w:eastAsia="仿宋_GB2312" w:cs="仿宋"/>
                <w:sz w:val="30"/>
                <w:szCs w:val="30"/>
                <w:highlight w:val="none"/>
              </w:rPr>
            </w:pPr>
          </w:p>
        </w:tc>
      </w:tr>
      <w:tr w14:paraId="1CA25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529" w:type="dxa"/>
            <w:noWrap w:val="0"/>
            <w:vAlign w:val="center"/>
          </w:tcPr>
          <w:p w14:paraId="786AC2D0">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敦厚小学</w:t>
            </w:r>
          </w:p>
        </w:tc>
        <w:tc>
          <w:tcPr>
            <w:tcW w:w="4532" w:type="dxa"/>
            <w:vMerge w:val="restart"/>
            <w:noWrap w:val="0"/>
            <w:vAlign w:val="center"/>
          </w:tcPr>
          <w:p w14:paraId="141E8399">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城北中学</w:t>
            </w:r>
          </w:p>
        </w:tc>
      </w:tr>
      <w:tr w14:paraId="67378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529" w:type="dxa"/>
            <w:noWrap w:val="0"/>
            <w:vAlign w:val="center"/>
          </w:tcPr>
          <w:p w14:paraId="6B143A7C">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郊边小学</w:t>
            </w:r>
          </w:p>
        </w:tc>
        <w:tc>
          <w:tcPr>
            <w:tcW w:w="4532" w:type="dxa"/>
            <w:vMerge w:val="continue"/>
            <w:noWrap w:val="0"/>
            <w:vAlign w:val="center"/>
          </w:tcPr>
          <w:p w14:paraId="5981244D">
            <w:pPr>
              <w:spacing w:line="620" w:lineRule="exact"/>
              <w:jc w:val="center"/>
              <w:rPr>
                <w:rFonts w:ascii="仿宋_GB2312" w:hAnsi="仿宋" w:eastAsia="仿宋_GB2312" w:cs="仿宋"/>
                <w:sz w:val="30"/>
                <w:szCs w:val="30"/>
                <w:highlight w:val="none"/>
              </w:rPr>
            </w:pPr>
          </w:p>
        </w:tc>
      </w:tr>
      <w:tr w14:paraId="5B3E8F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529" w:type="dxa"/>
            <w:noWrap w:val="0"/>
            <w:vAlign w:val="center"/>
          </w:tcPr>
          <w:p w14:paraId="2B9FB95B">
            <w:pPr>
              <w:spacing w:line="620" w:lineRule="exact"/>
              <w:jc w:val="center"/>
              <w:rPr>
                <w:rFonts w:ascii="仿宋_GB2312" w:hAnsi="仿宋" w:eastAsia="仿宋_GB2312" w:cs="仿宋"/>
                <w:sz w:val="30"/>
                <w:szCs w:val="30"/>
                <w:highlight w:val="none"/>
                <w:lang w:eastAsia="en-US"/>
              </w:rPr>
            </w:pPr>
            <w:r>
              <w:rPr>
                <w:rFonts w:hint="eastAsia" w:ascii="仿宋_GB2312" w:hAnsi="仿宋" w:eastAsia="仿宋_GB2312" w:cs="仿宋"/>
                <w:sz w:val="30"/>
                <w:szCs w:val="30"/>
                <w:highlight w:val="none"/>
              </w:rPr>
              <w:t>冼可澄纪念学校</w:t>
            </w:r>
          </w:p>
        </w:tc>
        <w:tc>
          <w:tcPr>
            <w:tcW w:w="4532" w:type="dxa"/>
            <w:vMerge w:val="restart"/>
            <w:noWrap w:val="0"/>
            <w:vAlign w:val="center"/>
          </w:tcPr>
          <w:p w14:paraId="7E5499B0">
            <w:pPr>
              <w:spacing w:line="620" w:lineRule="exact"/>
              <w:jc w:val="center"/>
              <w:rPr>
                <w:rFonts w:ascii="仿宋_GB2312" w:hAnsi="仿宋" w:eastAsia="仿宋_GB2312" w:cs="仿宋"/>
                <w:sz w:val="30"/>
                <w:szCs w:val="30"/>
                <w:highlight w:val="none"/>
                <w:lang w:eastAsia="en-US"/>
              </w:rPr>
            </w:pPr>
            <w:r>
              <w:rPr>
                <w:rFonts w:hint="eastAsia" w:ascii="仿宋_GB2312" w:hAnsi="仿宋" w:eastAsia="仿宋_GB2312" w:cs="仿宋"/>
                <w:sz w:val="30"/>
                <w:szCs w:val="30"/>
                <w:highlight w:val="none"/>
              </w:rPr>
              <w:t>汾江中学</w:t>
            </w:r>
          </w:p>
        </w:tc>
      </w:tr>
      <w:tr w14:paraId="2949D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529" w:type="dxa"/>
            <w:noWrap w:val="0"/>
            <w:vAlign w:val="center"/>
          </w:tcPr>
          <w:p w14:paraId="2B7328F1">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元甲学校</w:t>
            </w:r>
          </w:p>
        </w:tc>
        <w:tc>
          <w:tcPr>
            <w:tcW w:w="4532" w:type="dxa"/>
            <w:vMerge w:val="continue"/>
            <w:noWrap w:val="0"/>
            <w:vAlign w:val="center"/>
          </w:tcPr>
          <w:p w14:paraId="0CA557D7">
            <w:pPr>
              <w:spacing w:line="620" w:lineRule="exact"/>
              <w:jc w:val="center"/>
              <w:rPr>
                <w:rFonts w:ascii="仿宋_GB2312" w:hAnsi="仿宋" w:eastAsia="仿宋_GB2312" w:cs="仿宋"/>
                <w:sz w:val="30"/>
                <w:szCs w:val="30"/>
                <w:highlight w:val="none"/>
              </w:rPr>
            </w:pPr>
          </w:p>
        </w:tc>
      </w:tr>
      <w:tr w14:paraId="61CC4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529" w:type="dxa"/>
            <w:noWrap w:val="0"/>
            <w:vAlign w:val="center"/>
          </w:tcPr>
          <w:p w14:paraId="267C781A">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白燕小学</w:t>
            </w:r>
          </w:p>
        </w:tc>
        <w:tc>
          <w:tcPr>
            <w:tcW w:w="4532" w:type="dxa"/>
            <w:vMerge w:val="restart"/>
            <w:noWrap w:val="0"/>
            <w:vAlign w:val="center"/>
          </w:tcPr>
          <w:p w14:paraId="309281D1">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佛山六中</w:t>
            </w:r>
          </w:p>
        </w:tc>
      </w:tr>
      <w:tr w14:paraId="47D28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4529" w:type="dxa"/>
            <w:noWrap w:val="0"/>
            <w:vAlign w:val="center"/>
          </w:tcPr>
          <w:p w14:paraId="3C021D68">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佛山五小</w:t>
            </w:r>
          </w:p>
        </w:tc>
        <w:tc>
          <w:tcPr>
            <w:tcW w:w="4532" w:type="dxa"/>
            <w:vMerge w:val="continue"/>
            <w:noWrap w:val="0"/>
            <w:vAlign w:val="center"/>
          </w:tcPr>
          <w:p w14:paraId="4EB24EB6">
            <w:pPr>
              <w:spacing w:line="620" w:lineRule="exact"/>
              <w:jc w:val="center"/>
              <w:rPr>
                <w:rFonts w:ascii="仿宋_GB2312" w:hAnsi="仿宋" w:eastAsia="仿宋_GB2312" w:cs="仿宋"/>
                <w:sz w:val="30"/>
                <w:szCs w:val="30"/>
                <w:highlight w:val="none"/>
              </w:rPr>
            </w:pPr>
          </w:p>
        </w:tc>
      </w:tr>
      <w:tr w14:paraId="6FB28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4529" w:type="dxa"/>
            <w:noWrap w:val="0"/>
            <w:vAlign w:val="center"/>
          </w:tcPr>
          <w:p w14:paraId="0767E903">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镇安小学</w:t>
            </w:r>
          </w:p>
        </w:tc>
        <w:tc>
          <w:tcPr>
            <w:tcW w:w="4532" w:type="dxa"/>
            <w:noWrap w:val="0"/>
            <w:vAlign w:val="center"/>
          </w:tcPr>
          <w:p w14:paraId="5ABB4104">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佛山十中</w:t>
            </w:r>
          </w:p>
        </w:tc>
      </w:tr>
      <w:tr w14:paraId="678F3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4529" w:type="dxa"/>
            <w:noWrap w:val="0"/>
            <w:vAlign w:val="center"/>
          </w:tcPr>
          <w:p w14:paraId="464C98EC">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东升小学</w:t>
            </w:r>
          </w:p>
        </w:tc>
        <w:tc>
          <w:tcPr>
            <w:tcW w:w="4532" w:type="dxa"/>
            <w:vMerge w:val="restart"/>
            <w:noWrap w:val="0"/>
            <w:vAlign w:val="center"/>
          </w:tcPr>
          <w:p w14:paraId="1A639336">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佛山十一中</w:t>
            </w:r>
          </w:p>
        </w:tc>
      </w:tr>
      <w:tr w14:paraId="585F2E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4529" w:type="dxa"/>
            <w:noWrap w:val="0"/>
            <w:vAlign w:val="center"/>
          </w:tcPr>
          <w:p w14:paraId="6D0664A4">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第二十四小学</w:t>
            </w:r>
          </w:p>
        </w:tc>
        <w:tc>
          <w:tcPr>
            <w:tcW w:w="4532" w:type="dxa"/>
            <w:vMerge w:val="continue"/>
            <w:noWrap w:val="0"/>
            <w:vAlign w:val="center"/>
          </w:tcPr>
          <w:p w14:paraId="0941A509">
            <w:pPr>
              <w:spacing w:line="620" w:lineRule="exact"/>
              <w:jc w:val="center"/>
              <w:rPr>
                <w:rFonts w:ascii="仿宋_GB2312" w:hAnsi="仿宋" w:eastAsia="仿宋_GB2312" w:cs="仿宋"/>
                <w:sz w:val="30"/>
                <w:szCs w:val="30"/>
                <w:highlight w:val="none"/>
              </w:rPr>
            </w:pPr>
          </w:p>
        </w:tc>
      </w:tr>
      <w:tr w14:paraId="5E1B5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4529" w:type="dxa"/>
            <w:noWrap w:val="0"/>
            <w:vAlign w:val="center"/>
          </w:tcPr>
          <w:p w14:paraId="587BAECD">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第二十五小学</w:t>
            </w:r>
          </w:p>
        </w:tc>
        <w:tc>
          <w:tcPr>
            <w:tcW w:w="4532" w:type="dxa"/>
            <w:vMerge w:val="continue"/>
            <w:noWrap w:val="0"/>
            <w:vAlign w:val="center"/>
          </w:tcPr>
          <w:p w14:paraId="4E19A71C">
            <w:pPr>
              <w:spacing w:line="620" w:lineRule="exact"/>
              <w:jc w:val="center"/>
              <w:rPr>
                <w:rFonts w:ascii="仿宋_GB2312" w:hAnsi="仿宋" w:eastAsia="仿宋_GB2312" w:cs="仿宋"/>
                <w:sz w:val="30"/>
                <w:szCs w:val="30"/>
                <w:highlight w:val="none"/>
              </w:rPr>
            </w:pPr>
          </w:p>
        </w:tc>
      </w:tr>
      <w:tr w14:paraId="2D75D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4529" w:type="dxa"/>
            <w:noWrap w:val="0"/>
            <w:vAlign w:val="center"/>
          </w:tcPr>
          <w:p w14:paraId="7937BC9B">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澜石小学</w:t>
            </w:r>
          </w:p>
        </w:tc>
        <w:tc>
          <w:tcPr>
            <w:tcW w:w="4532" w:type="dxa"/>
            <w:vMerge w:val="restart"/>
            <w:noWrap w:val="0"/>
            <w:vAlign w:val="center"/>
          </w:tcPr>
          <w:p w14:paraId="33EB1443">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澜石中学</w:t>
            </w:r>
          </w:p>
        </w:tc>
      </w:tr>
      <w:tr w14:paraId="134E2A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4529" w:type="dxa"/>
            <w:noWrap w:val="0"/>
            <w:vAlign w:val="center"/>
          </w:tcPr>
          <w:p w14:paraId="330F1786">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霍藻棉小学</w:t>
            </w:r>
          </w:p>
        </w:tc>
        <w:tc>
          <w:tcPr>
            <w:tcW w:w="4532" w:type="dxa"/>
            <w:vMerge w:val="continue"/>
            <w:noWrap w:val="0"/>
            <w:vAlign w:val="center"/>
          </w:tcPr>
          <w:p w14:paraId="3FA51941">
            <w:pPr>
              <w:spacing w:line="620" w:lineRule="exact"/>
              <w:jc w:val="center"/>
              <w:rPr>
                <w:rFonts w:ascii="仿宋_GB2312" w:hAnsi="仿宋" w:eastAsia="仿宋_GB2312" w:cs="仿宋"/>
                <w:sz w:val="30"/>
                <w:szCs w:val="30"/>
                <w:highlight w:val="none"/>
              </w:rPr>
            </w:pPr>
          </w:p>
        </w:tc>
      </w:tr>
      <w:tr w14:paraId="154A63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4529" w:type="dxa"/>
            <w:noWrap w:val="0"/>
            <w:vAlign w:val="center"/>
          </w:tcPr>
          <w:p w14:paraId="373756CD">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石湾一小</w:t>
            </w:r>
          </w:p>
        </w:tc>
        <w:tc>
          <w:tcPr>
            <w:tcW w:w="4532" w:type="dxa"/>
            <w:vMerge w:val="restart"/>
            <w:noWrap w:val="0"/>
            <w:vAlign w:val="center"/>
          </w:tcPr>
          <w:p w14:paraId="3FB65428">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佛山十四中</w:t>
            </w:r>
          </w:p>
        </w:tc>
      </w:tr>
      <w:tr w14:paraId="4E4CC6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4529" w:type="dxa"/>
            <w:noWrap w:val="0"/>
            <w:vAlign w:val="center"/>
          </w:tcPr>
          <w:p w14:paraId="7060119F">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石湾二小</w:t>
            </w:r>
          </w:p>
        </w:tc>
        <w:tc>
          <w:tcPr>
            <w:tcW w:w="4532" w:type="dxa"/>
            <w:vMerge w:val="continue"/>
            <w:noWrap w:val="0"/>
            <w:vAlign w:val="center"/>
          </w:tcPr>
          <w:p w14:paraId="2E72984C">
            <w:pPr>
              <w:spacing w:line="620" w:lineRule="exact"/>
              <w:jc w:val="center"/>
              <w:rPr>
                <w:rFonts w:ascii="仿宋_GB2312" w:hAnsi="仿宋" w:eastAsia="仿宋_GB2312" w:cs="仿宋"/>
                <w:sz w:val="30"/>
                <w:szCs w:val="30"/>
                <w:highlight w:val="none"/>
              </w:rPr>
            </w:pPr>
          </w:p>
        </w:tc>
      </w:tr>
      <w:tr w14:paraId="1E977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4529" w:type="dxa"/>
            <w:noWrap w:val="0"/>
            <w:vAlign w:val="center"/>
          </w:tcPr>
          <w:p w14:paraId="7E243666">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石湾三小</w:t>
            </w:r>
          </w:p>
        </w:tc>
        <w:tc>
          <w:tcPr>
            <w:tcW w:w="4532" w:type="dxa"/>
            <w:vMerge w:val="continue"/>
            <w:noWrap w:val="0"/>
            <w:vAlign w:val="center"/>
          </w:tcPr>
          <w:p w14:paraId="41B554EC">
            <w:pPr>
              <w:spacing w:line="620" w:lineRule="exact"/>
              <w:jc w:val="center"/>
              <w:rPr>
                <w:rFonts w:ascii="仿宋_GB2312" w:hAnsi="仿宋" w:eastAsia="仿宋_GB2312" w:cs="仿宋"/>
                <w:sz w:val="30"/>
                <w:szCs w:val="30"/>
                <w:highlight w:val="none"/>
              </w:rPr>
            </w:pPr>
          </w:p>
        </w:tc>
      </w:tr>
      <w:tr w14:paraId="5C3E37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4529" w:type="dxa"/>
            <w:noWrap w:val="0"/>
            <w:vAlign w:val="center"/>
          </w:tcPr>
          <w:p w14:paraId="45B2C9DC">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海口小学</w:t>
            </w:r>
          </w:p>
        </w:tc>
        <w:tc>
          <w:tcPr>
            <w:tcW w:w="4532" w:type="dxa"/>
            <w:vMerge w:val="continue"/>
            <w:noWrap w:val="0"/>
            <w:vAlign w:val="center"/>
          </w:tcPr>
          <w:p w14:paraId="5642F442">
            <w:pPr>
              <w:spacing w:line="620" w:lineRule="exact"/>
              <w:jc w:val="center"/>
              <w:rPr>
                <w:rFonts w:ascii="仿宋_GB2312" w:hAnsi="仿宋" w:eastAsia="仿宋_GB2312" w:cs="仿宋"/>
                <w:sz w:val="30"/>
                <w:szCs w:val="30"/>
                <w:highlight w:val="none"/>
              </w:rPr>
            </w:pPr>
          </w:p>
        </w:tc>
      </w:tr>
      <w:tr w14:paraId="65BE1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4529" w:type="dxa"/>
            <w:noWrap w:val="0"/>
            <w:vAlign w:val="center"/>
          </w:tcPr>
          <w:p w14:paraId="178FAEBA">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张槎中心小学</w:t>
            </w:r>
          </w:p>
        </w:tc>
        <w:tc>
          <w:tcPr>
            <w:tcW w:w="4532" w:type="dxa"/>
            <w:vMerge w:val="restart"/>
            <w:noWrap w:val="0"/>
            <w:vAlign w:val="center"/>
          </w:tcPr>
          <w:p w14:paraId="53A4DE3B">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张槎中学</w:t>
            </w:r>
          </w:p>
        </w:tc>
      </w:tr>
      <w:tr w14:paraId="21848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4529" w:type="dxa"/>
            <w:noWrap w:val="0"/>
            <w:vAlign w:val="center"/>
          </w:tcPr>
          <w:p w14:paraId="0FA57974">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东鄱小学</w:t>
            </w:r>
          </w:p>
        </w:tc>
        <w:tc>
          <w:tcPr>
            <w:tcW w:w="4532" w:type="dxa"/>
            <w:vMerge w:val="continue"/>
            <w:noWrap w:val="0"/>
            <w:vAlign w:val="center"/>
          </w:tcPr>
          <w:p w14:paraId="3F99314C">
            <w:pPr>
              <w:spacing w:line="620" w:lineRule="exact"/>
              <w:jc w:val="center"/>
              <w:rPr>
                <w:rFonts w:ascii="仿宋_GB2312" w:hAnsi="仿宋" w:eastAsia="仿宋_GB2312" w:cs="仿宋"/>
                <w:sz w:val="30"/>
                <w:szCs w:val="30"/>
                <w:highlight w:val="none"/>
              </w:rPr>
            </w:pPr>
          </w:p>
        </w:tc>
      </w:tr>
      <w:tr w14:paraId="59D2A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4529" w:type="dxa"/>
            <w:noWrap w:val="0"/>
            <w:vAlign w:val="center"/>
          </w:tcPr>
          <w:p w14:paraId="667631AC">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张槎小学</w:t>
            </w:r>
          </w:p>
        </w:tc>
        <w:tc>
          <w:tcPr>
            <w:tcW w:w="4532" w:type="dxa"/>
            <w:vMerge w:val="continue"/>
            <w:noWrap w:val="0"/>
            <w:vAlign w:val="center"/>
          </w:tcPr>
          <w:p w14:paraId="33096D48">
            <w:pPr>
              <w:spacing w:line="620" w:lineRule="exact"/>
              <w:jc w:val="center"/>
              <w:rPr>
                <w:rFonts w:ascii="仿宋_GB2312" w:hAnsi="仿宋" w:eastAsia="仿宋_GB2312" w:cs="仿宋"/>
                <w:sz w:val="30"/>
                <w:szCs w:val="30"/>
                <w:highlight w:val="none"/>
              </w:rPr>
            </w:pPr>
          </w:p>
        </w:tc>
      </w:tr>
      <w:tr w14:paraId="7989D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4529" w:type="dxa"/>
            <w:noWrap w:val="0"/>
            <w:vAlign w:val="center"/>
          </w:tcPr>
          <w:p w14:paraId="3507660A">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大富小学</w:t>
            </w:r>
          </w:p>
        </w:tc>
        <w:tc>
          <w:tcPr>
            <w:tcW w:w="4532" w:type="dxa"/>
            <w:vMerge w:val="continue"/>
            <w:noWrap w:val="0"/>
            <w:vAlign w:val="center"/>
          </w:tcPr>
          <w:p w14:paraId="00DBD2CE">
            <w:pPr>
              <w:spacing w:line="620" w:lineRule="exact"/>
              <w:jc w:val="center"/>
              <w:rPr>
                <w:rFonts w:ascii="仿宋_GB2312" w:hAnsi="仿宋" w:eastAsia="仿宋_GB2312" w:cs="仿宋"/>
                <w:sz w:val="30"/>
                <w:szCs w:val="30"/>
                <w:highlight w:val="none"/>
              </w:rPr>
            </w:pPr>
          </w:p>
        </w:tc>
      </w:tr>
      <w:tr w14:paraId="6A0F9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4529" w:type="dxa"/>
            <w:noWrap w:val="0"/>
            <w:vAlign w:val="center"/>
          </w:tcPr>
          <w:p w14:paraId="05AC3AF5">
            <w:pPr>
              <w:spacing w:line="620" w:lineRule="exact"/>
              <w:jc w:val="center"/>
              <w:rPr>
                <w:rFonts w:ascii="仿宋_GB2312" w:hAnsi="仿宋" w:eastAsia="仿宋_GB2312" w:cs="仿宋"/>
                <w:sz w:val="30"/>
                <w:szCs w:val="30"/>
                <w:highlight w:val="none"/>
              </w:rPr>
            </w:pPr>
            <w:r>
              <w:rPr>
                <w:rFonts w:hint="eastAsia" w:ascii="仿宋_GB2312" w:hAnsi="仿宋" w:eastAsia="仿宋_GB2312" w:cs="仿宋"/>
                <w:sz w:val="30"/>
                <w:szCs w:val="30"/>
                <w:highlight w:val="none"/>
              </w:rPr>
              <w:t>下朗小学</w:t>
            </w:r>
          </w:p>
        </w:tc>
        <w:tc>
          <w:tcPr>
            <w:tcW w:w="4532" w:type="dxa"/>
            <w:vMerge w:val="continue"/>
            <w:noWrap w:val="0"/>
            <w:vAlign w:val="center"/>
          </w:tcPr>
          <w:p w14:paraId="4A328693">
            <w:pPr>
              <w:spacing w:line="620" w:lineRule="exact"/>
              <w:jc w:val="center"/>
              <w:rPr>
                <w:rFonts w:ascii="仿宋_GB2312" w:hAnsi="仿宋" w:eastAsia="仿宋_GB2312" w:cs="仿宋"/>
                <w:sz w:val="30"/>
                <w:szCs w:val="30"/>
                <w:highlight w:val="none"/>
              </w:rPr>
            </w:pPr>
          </w:p>
        </w:tc>
      </w:tr>
    </w:tbl>
    <w:p w14:paraId="1402453A">
      <w:pPr>
        <w:spacing w:line="580" w:lineRule="exact"/>
        <w:rPr>
          <w:rFonts w:ascii="黑体" w:hAnsi="黑体" w:eastAsia="黑体"/>
          <w:sz w:val="32"/>
          <w:szCs w:val="32"/>
          <w:highlight w:val="none"/>
        </w:rPr>
        <w:sectPr>
          <w:pgSz w:w="11906" w:h="16838"/>
          <w:pgMar w:top="2098" w:right="1474" w:bottom="1984" w:left="1587" w:header="737" w:footer="1587" w:gutter="0"/>
          <w:pgNumType w:fmt="decimal"/>
          <w:cols w:space="720" w:num="1"/>
          <w:rtlGutter w:val="0"/>
          <w:docGrid w:type="lines" w:linePitch="318" w:charSpace="0"/>
        </w:sectPr>
      </w:pPr>
    </w:p>
    <w:p w14:paraId="3D0BF1E6"/>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方正小标宋简体">
    <w:altName w:val="仿宋_GB2312"/>
    <w:panose1 w:val="02000000000000000000"/>
    <w:charset w:val="86"/>
    <w:family w:val="auto"/>
    <w:pitch w:val="default"/>
    <w:sig w:usb0="00000000" w:usb1="00000000" w:usb2="00000012" w:usb3="00000000" w:csb0="00040001"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8CC45DF"/>
    <w:rsid w:val="18CC45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qFormat/>
    <w:uiPriority w:val="0"/>
    <w:pPr>
      <w:keepNext/>
      <w:keepLines/>
      <w:spacing w:before="260" w:after="260" w:line="416" w:lineRule="auto"/>
      <w:outlineLvl w:val="1"/>
    </w:pPr>
    <w:rPr>
      <w:rFonts w:ascii="Cambria" w:hAnsi="Cambria" w:cs="Times New Roman"/>
      <w:b/>
      <w:bCs/>
      <w:sz w:val="32"/>
      <w:szCs w:val="32"/>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0</Words>
  <Characters>0</Characters>
  <Lines>0</Lines>
  <Paragraphs>0</Paragraphs>
  <TotalTime>1</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2025-03-19T09:42:00Z</dcterms:created>
  <dc:creator>＇Timeless,...</dc:creator>
  <cp:lastModifiedBy>＇Timeless,...</cp:lastModifiedBy>
  <dcterms:modified xsi:type="dcterms:W3CDTF">2025-03-19T09:43:20Z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EB31192BC49B4C1AA7FC12DE2549872C_11</vt:lpwstr>
  </property>
  <property fmtid="{D5CDD505-2E9C-101B-9397-08002B2CF9AE}" pid="4" name="KSOTemplateDocerSaveRecord">
    <vt:lpwstr>eyJoZGlkIjoiMjA2MTI2N2UzOWVlZTMyNjY5NWFkM2EwZjA2ZTBiMzEiLCJ1c2VySWQiOiIyMTk4Nzc5MDEifQ==</vt:lpwstr>
  </property>
</Properties>
</file>