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hd w:val="clear" w:color="auto" w:fill="FFFFFF"/>
        <w:spacing w:before="0" w:beforeAutospacing="0" w:after="0" w:afterAutospacing="0" w:line="560" w:lineRule="exact"/>
        <w:jc w:val="center"/>
        <w:rPr>
          <w:rFonts w:hint="eastAsia" w:ascii="微软雅黑" w:hAnsi="微软雅黑" w:eastAsia="微软雅黑" w:cs="微软雅黑"/>
          <w:color w:val="auto"/>
          <w:sz w:val="44"/>
          <w:szCs w:val="44"/>
        </w:rPr>
      </w:pPr>
      <w:bookmarkStart w:id="0" w:name="_GoBack"/>
      <w:r>
        <w:rPr>
          <w:rFonts w:hint="eastAsia" w:ascii="微软雅黑" w:hAnsi="微软雅黑" w:eastAsia="微软雅黑" w:cs="微软雅黑"/>
          <w:color w:val="auto"/>
          <w:sz w:val="44"/>
          <w:szCs w:val="44"/>
        </w:rPr>
        <w:t>黄埔区来穗人员随迁子女接受义务教育</w:t>
      </w:r>
    </w:p>
    <w:p>
      <w:pPr>
        <w:pStyle w:val="6"/>
        <w:shd w:val="clear" w:color="auto" w:fill="FFFFFF"/>
        <w:spacing w:before="0" w:beforeAutospacing="0" w:after="0" w:afterAutospacing="0" w:line="560" w:lineRule="exact"/>
        <w:jc w:val="center"/>
        <w:rPr>
          <w:rFonts w:hint="eastAsia" w:ascii="微软雅黑" w:hAnsi="微软雅黑" w:eastAsia="微软雅黑" w:cs="微软雅黑"/>
          <w:color w:val="auto"/>
          <w:sz w:val="44"/>
          <w:szCs w:val="44"/>
        </w:rPr>
      </w:pPr>
      <w:r>
        <w:rPr>
          <w:rFonts w:hint="eastAsia" w:ascii="微软雅黑" w:hAnsi="微软雅黑" w:eastAsia="微软雅黑" w:cs="微软雅黑"/>
          <w:color w:val="auto"/>
          <w:sz w:val="44"/>
          <w:szCs w:val="44"/>
        </w:rPr>
        <w:t>补充加分指标</w:t>
      </w:r>
      <w:bookmarkEnd w:id="0"/>
    </w:p>
    <w:tbl>
      <w:tblPr>
        <w:tblStyle w:val="7"/>
        <w:tblW w:w="963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09"/>
        <w:gridCol w:w="709"/>
        <w:gridCol w:w="1404"/>
        <w:gridCol w:w="4273"/>
        <w:gridCol w:w="25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5" w:hRule="atLeast"/>
          <w:jc w:val="center"/>
        </w:trPr>
        <w:tc>
          <w:tcPr>
            <w:tcW w:w="709" w:type="dxa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Calibri" w:hAnsi="Calibri"/>
                <w:color w:val="auto"/>
                <w:sz w:val="21"/>
                <w:szCs w:val="21"/>
              </w:rPr>
            </w:pPr>
            <w:r>
              <w:rPr>
                <w:rFonts w:hint="eastAsia" w:ascii="黑体" w:hAnsi="黑体" w:eastAsia="黑体"/>
                <w:color w:val="auto"/>
              </w:rPr>
              <w:t>类别</w:t>
            </w:r>
          </w:p>
        </w:tc>
        <w:tc>
          <w:tcPr>
            <w:tcW w:w="709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Calibri" w:hAnsi="Calibri"/>
                <w:color w:val="auto"/>
                <w:sz w:val="21"/>
                <w:szCs w:val="21"/>
              </w:rPr>
            </w:pPr>
            <w:r>
              <w:rPr>
                <w:rFonts w:hint="eastAsia" w:ascii="黑体" w:hAnsi="黑体" w:eastAsia="黑体"/>
                <w:color w:val="auto"/>
              </w:rPr>
              <w:t>序号</w:t>
            </w:r>
          </w:p>
        </w:tc>
        <w:tc>
          <w:tcPr>
            <w:tcW w:w="1404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Calibri" w:hAnsi="Calibri"/>
                <w:color w:val="auto"/>
                <w:sz w:val="21"/>
                <w:szCs w:val="21"/>
              </w:rPr>
            </w:pPr>
            <w:r>
              <w:rPr>
                <w:rFonts w:hint="eastAsia" w:ascii="黑体" w:hAnsi="黑体" w:eastAsia="黑体"/>
                <w:color w:val="auto"/>
              </w:rPr>
              <w:t>指标</w:t>
            </w:r>
          </w:p>
        </w:tc>
        <w:tc>
          <w:tcPr>
            <w:tcW w:w="4273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Calibri" w:hAnsi="Calibri"/>
                <w:color w:val="auto"/>
                <w:sz w:val="21"/>
                <w:szCs w:val="21"/>
              </w:rPr>
            </w:pPr>
            <w:r>
              <w:rPr>
                <w:rFonts w:hint="eastAsia" w:ascii="黑体" w:hAnsi="黑体" w:eastAsia="黑体"/>
                <w:color w:val="auto"/>
              </w:rPr>
              <w:t>指标内容及分值</w:t>
            </w:r>
          </w:p>
        </w:tc>
        <w:tc>
          <w:tcPr>
            <w:tcW w:w="2543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Calibri" w:hAnsi="Calibri"/>
                <w:color w:val="auto"/>
                <w:sz w:val="21"/>
                <w:szCs w:val="21"/>
              </w:rPr>
            </w:pPr>
            <w:r>
              <w:rPr>
                <w:rFonts w:hint="eastAsia" w:ascii="黑体" w:hAnsi="黑体" w:eastAsia="黑体"/>
                <w:color w:val="auto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3" w:hRule="atLeast"/>
          <w:jc w:val="center"/>
        </w:trPr>
        <w:tc>
          <w:tcPr>
            <w:tcW w:w="709" w:type="dxa"/>
            <w:vMerge w:val="restart"/>
            <w:tcBorders>
              <w:top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仿宋_GB2312" w:hAnsi="Calibri"/>
                <w:color w:val="auto"/>
              </w:rPr>
            </w:pPr>
            <w:r>
              <w:rPr>
                <w:rFonts w:hint="eastAsia" w:ascii="仿宋_GB2312" w:hAnsi="Calibri"/>
                <w:color w:val="auto"/>
              </w:rPr>
              <w:t>补</w:t>
            </w:r>
          </w:p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仿宋_GB2312" w:hAnsi="Calibri"/>
                <w:color w:val="auto"/>
              </w:rPr>
            </w:pPr>
          </w:p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仿宋_GB2312" w:hAnsi="Calibri"/>
                <w:color w:val="auto"/>
              </w:rPr>
            </w:pPr>
            <w:r>
              <w:rPr>
                <w:rFonts w:hint="eastAsia" w:ascii="仿宋_GB2312" w:hAnsi="Calibri"/>
                <w:color w:val="auto"/>
              </w:rPr>
              <w:t>充</w:t>
            </w:r>
          </w:p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仿宋_GB2312" w:hAnsi="Calibri"/>
                <w:color w:val="auto"/>
              </w:rPr>
            </w:pPr>
          </w:p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仿宋_GB2312" w:hAnsi="Calibri"/>
                <w:color w:val="auto"/>
              </w:rPr>
            </w:pPr>
            <w:r>
              <w:rPr>
                <w:rFonts w:hint="eastAsia" w:ascii="仿宋_GB2312" w:hAnsi="Calibri"/>
                <w:color w:val="auto"/>
              </w:rPr>
              <w:t>加</w:t>
            </w:r>
          </w:p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仿宋_GB2312" w:hAnsi="Calibri"/>
                <w:color w:val="auto"/>
              </w:rPr>
            </w:pPr>
          </w:p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仿宋_GB2312" w:hAnsi="Calibri"/>
                <w:color w:val="auto"/>
              </w:rPr>
            </w:pPr>
            <w:r>
              <w:rPr>
                <w:rFonts w:hint="eastAsia" w:ascii="仿宋_GB2312" w:hAnsi="Calibri"/>
                <w:color w:val="auto"/>
              </w:rPr>
              <w:t>分</w:t>
            </w:r>
          </w:p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仿宋_GB2312" w:hAnsi="Calibri"/>
                <w:color w:val="auto"/>
              </w:rPr>
            </w:pPr>
          </w:p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仿宋_GB2312" w:hAnsi="Calibri"/>
                <w:color w:val="auto"/>
              </w:rPr>
            </w:pPr>
            <w:r>
              <w:rPr>
                <w:rFonts w:hint="eastAsia" w:ascii="仿宋_GB2312" w:hAnsi="Calibri"/>
                <w:color w:val="auto"/>
              </w:rPr>
              <w:t>指</w:t>
            </w:r>
          </w:p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仿宋_GB2312" w:hAnsi="Calibri"/>
                <w:color w:val="auto"/>
              </w:rPr>
            </w:pPr>
          </w:p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仿宋_GB2312" w:hAnsi="Calibri"/>
                <w:color w:val="auto"/>
              </w:rPr>
            </w:pPr>
            <w:r>
              <w:rPr>
                <w:rFonts w:hint="eastAsia" w:ascii="仿宋_GB2312" w:hAnsi="Calibri"/>
                <w:color w:val="auto"/>
              </w:rPr>
              <w:t>标</w:t>
            </w:r>
          </w:p>
        </w:tc>
        <w:tc>
          <w:tcPr>
            <w:tcW w:w="709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仿宋_GB2312" w:hAnsi="Calibri"/>
                <w:color w:val="auto"/>
              </w:rPr>
            </w:pPr>
            <w:r>
              <w:rPr>
                <w:rFonts w:ascii="仿宋_GB2312" w:hAnsi="Calibri"/>
                <w:color w:val="auto"/>
              </w:rPr>
              <w:t>1</w:t>
            </w:r>
          </w:p>
        </w:tc>
        <w:tc>
          <w:tcPr>
            <w:tcW w:w="1404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6"/>
              <w:spacing w:before="0" w:beforeAutospacing="0" w:after="0" w:afterAutospacing="0" w:line="360" w:lineRule="exact"/>
              <w:jc w:val="center"/>
              <w:rPr>
                <w:rFonts w:ascii="仿宋_GB2312" w:hAnsi="Calibri"/>
                <w:color w:val="auto"/>
              </w:rPr>
            </w:pPr>
            <w:r>
              <w:rPr>
                <w:rFonts w:hint="eastAsia" w:ascii="仿宋_GB2312" w:hAnsi="Calibri"/>
                <w:color w:val="auto"/>
              </w:rPr>
              <w:t>企业加分</w:t>
            </w:r>
          </w:p>
        </w:tc>
        <w:tc>
          <w:tcPr>
            <w:tcW w:w="4273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spacing w:line="320" w:lineRule="exact"/>
              <w:ind w:firstLine="480" w:firstLineChars="200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ascii="仿宋_GB2312" w:eastAsia="仿宋_GB2312"/>
                <w:color w:val="auto"/>
                <w:sz w:val="24"/>
                <w:szCs w:val="24"/>
              </w:rPr>
              <w:t>1.申请人所在企业在上一年度本区内纳税区库留成总额排全区前100名的，加16分；申请人所在企业在上一年度本区内纳税区库留成总额排全区101-200名的，加10分。</w:t>
            </w:r>
          </w:p>
          <w:p>
            <w:pPr>
              <w:widowControl/>
              <w:snapToGrid w:val="0"/>
              <w:spacing w:line="320" w:lineRule="exact"/>
              <w:ind w:firstLine="480" w:firstLineChars="200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ascii="仿宋_GB2312" w:eastAsia="仿宋_GB2312"/>
                <w:color w:val="auto"/>
                <w:sz w:val="24"/>
                <w:szCs w:val="24"/>
              </w:rPr>
              <w:t>2.申请人是本区重点招商引资企业、重大科技创新平台、创新创业领军人才企业、研发投入增量50强</w:t>
            </w:r>
            <w:r>
              <w:rPr>
                <w:rFonts w:hint="eastAsia" w:ascii="仿宋_GB2312" w:eastAsia="仿宋_GB2312"/>
                <w:color w:val="auto"/>
                <w:sz w:val="24"/>
                <w:szCs w:val="24"/>
              </w:rPr>
              <w:t>规上</w:t>
            </w:r>
            <w:r>
              <w:rPr>
                <w:rFonts w:ascii="仿宋_GB2312" w:eastAsia="仿宋_GB2312"/>
                <w:color w:val="auto"/>
                <w:sz w:val="24"/>
                <w:szCs w:val="24"/>
              </w:rPr>
              <w:t>企业的中高级管理人员或技术骨干，加10分。</w:t>
            </w:r>
          </w:p>
          <w:p>
            <w:pPr>
              <w:widowControl/>
              <w:snapToGrid w:val="0"/>
              <w:spacing w:line="320" w:lineRule="exact"/>
              <w:ind w:firstLine="480" w:firstLineChars="200"/>
              <w:rPr>
                <w:rFonts w:ascii="仿宋_GB2312" w:eastAsia="仿宋_GB2312"/>
                <w:color w:val="auto"/>
                <w:sz w:val="24"/>
                <w:szCs w:val="24"/>
              </w:rPr>
            </w:pPr>
            <w:r>
              <w:rPr>
                <w:rFonts w:ascii="仿宋_GB2312" w:eastAsia="仿宋_GB2312"/>
                <w:color w:val="auto"/>
                <w:sz w:val="24"/>
                <w:szCs w:val="24"/>
              </w:rPr>
              <w:t>3.申请人是本区民营及中小企业的中高级管理人员或技术骨干，加10分。</w:t>
            </w:r>
          </w:p>
        </w:tc>
        <w:tc>
          <w:tcPr>
            <w:tcW w:w="2543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6"/>
              <w:spacing w:before="0" w:beforeAutospacing="0" w:after="0" w:afterAutospacing="0" w:line="320" w:lineRule="exact"/>
              <w:rPr>
                <w:rFonts w:ascii="仿宋_GB2312"/>
                <w:color w:val="auto"/>
              </w:rPr>
            </w:pPr>
            <w:r>
              <w:rPr>
                <w:rFonts w:ascii="仿宋_GB2312"/>
                <w:color w:val="auto"/>
              </w:rPr>
              <w:t xml:space="preserve">    1.</w:t>
            </w:r>
            <w:r>
              <w:rPr>
                <w:rFonts w:hint="eastAsia" w:ascii="仿宋_GB2312"/>
                <w:color w:val="auto"/>
              </w:rPr>
              <w:t>企业在上一年度本区内纳税区库留成总额以区财政部门统计为准。</w:t>
            </w:r>
          </w:p>
          <w:p>
            <w:pPr>
              <w:pStyle w:val="6"/>
              <w:spacing w:before="0" w:beforeAutospacing="0" w:after="0" w:afterAutospacing="0" w:line="320" w:lineRule="exact"/>
              <w:rPr>
                <w:rFonts w:ascii="仿宋_GB2312" w:hAnsi="Calibri"/>
                <w:color w:val="auto"/>
              </w:rPr>
            </w:pPr>
            <w:r>
              <w:rPr>
                <w:rFonts w:ascii="仿宋_GB2312"/>
                <w:color w:val="auto"/>
              </w:rPr>
              <w:t xml:space="preserve">    2.</w:t>
            </w:r>
            <w:r>
              <w:rPr>
                <w:rFonts w:hint="eastAsia" w:ascii="仿宋_GB2312" w:hAnsi="Calibri"/>
                <w:color w:val="auto"/>
              </w:rPr>
              <w:t>一个纳税年度指当年的</w:t>
            </w:r>
            <w:r>
              <w:rPr>
                <w:rFonts w:ascii="仿宋_GB2312" w:hAnsi="Calibri"/>
                <w:color w:val="auto"/>
              </w:rPr>
              <w:t>1</w:t>
            </w:r>
            <w:r>
              <w:rPr>
                <w:rFonts w:hint="eastAsia" w:ascii="仿宋_GB2312" w:hAnsi="Calibri"/>
                <w:color w:val="auto"/>
              </w:rPr>
              <w:t>月</w:t>
            </w:r>
            <w:r>
              <w:rPr>
                <w:rFonts w:ascii="仿宋_GB2312" w:hAnsi="Calibri"/>
                <w:color w:val="auto"/>
              </w:rPr>
              <w:t>1</w:t>
            </w:r>
            <w:r>
              <w:rPr>
                <w:rFonts w:hint="eastAsia" w:ascii="仿宋_GB2312" w:hAnsi="Calibri"/>
                <w:color w:val="auto"/>
              </w:rPr>
              <w:t>日至</w:t>
            </w:r>
            <w:r>
              <w:rPr>
                <w:rFonts w:ascii="仿宋_GB2312" w:hAnsi="Calibri"/>
                <w:color w:val="auto"/>
              </w:rPr>
              <w:t>12</w:t>
            </w:r>
            <w:r>
              <w:rPr>
                <w:rFonts w:hint="eastAsia" w:ascii="仿宋_GB2312" w:hAnsi="Calibri"/>
                <w:color w:val="auto"/>
              </w:rPr>
              <w:t>月</w:t>
            </w:r>
            <w:r>
              <w:rPr>
                <w:rFonts w:ascii="仿宋_GB2312" w:hAnsi="Calibri"/>
                <w:color w:val="auto"/>
              </w:rPr>
              <w:t>31</w:t>
            </w:r>
            <w:r>
              <w:rPr>
                <w:rFonts w:hint="eastAsia" w:ascii="仿宋_GB2312" w:hAnsi="Calibri"/>
                <w:color w:val="auto"/>
              </w:rPr>
              <w:t>日。</w:t>
            </w:r>
          </w:p>
          <w:p>
            <w:pPr>
              <w:pStyle w:val="6"/>
              <w:spacing w:before="0" w:beforeAutospacing="0" w:after="0" w:afterAutospacing="0" w:line="320" w:lineRule="exact"/>
              <w:rPr>
                <w:rFonts w:hint="eastAsia" w:ascii="仿宋_GB2312" w:hAnsi="Calibri"/>
                <w:color w:val="auto"/>
              </w:rPr>
            </w:pPr>
            <w:r>
              <w:rPr>
                <w:rFonts w:ascii="仿宋_GB2312" w:hAnsi="Calibri"/>
                <w:color w:val="auto"/>
              </w:rPr>
              <w:t xml:space="preserve">  </w:t>
            </w:r>
            <w:r>
              <w:rPr>
                <w:rFonts w:hint="eastAsia" w:ascii="仿宋_GB2312" w:hAnsi="Calibri"/>
                <w:color w:val="auto"/>
              </w:rPr>
              <w:t xml:space="preserve"> </w:t>
            </w:r>
            <w:r>
              <w:rPr>
                <w:rFonts w:ascii="仿宋_GB2312" w:hAnsi="Calibri"/>
                <w:color w:val="auto"/>
              </w:rPr>
              <w:t xml:space="preserve"> 3.</w:t>
            </w:r>
            <w:r>
              <w:rPr>
                <w:rFonts w:hint="eastAsia" w:ascii="仿宋_GB2312" w:hAnsi="Calibri"/>
                <w:color w:val="auto"/>
              </w:rPr>
              <w:t>对同时满足2条以上指标的，以分值最高指标进行赋分。</w:t>
            </w:r>
          </w:p>
          <w:p>
            <w:pPr>
              <w:pStyle w:val="6"/>
              <w:spacing w:before="0" w:beforeAutospacing="0" w:after="0" w:afterAutospacing="0" w:line="320" w:lineRule="exact"/>
              <w:jc w:val="both"/>
              <w:rPr>
                <w:rFonts w:ascii="仿宋_GB2312" w:hAnsi="Calibri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43" w:hRule="atLeast"/>
          <w:jc w:val="center"/>
        </w:trPr>
        <w:tc>
          <w:tcPr>
            <w:tcW w:w="70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仿宋_GB2312" w:hAnsi="Calibri"/>
                <w:color w:val="auto"/>
              </w:rPr>
            </w:pPr>
            <w:r>
              <w:rPr>
                <w:rFonts w:ascii="仿宋_GB2312" w:hAnsi="Calibri"/>
                <w:color w:val="auto"/>
              </w:rPr>
              <w:t>2</w:t>
            </w:r>
          </w:p>
        </w:tc>
        <w:tc>
          <w:tcPr>
            <w:tcW w:w="1404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</w:rPr>
              <w:t>居住证</w:t>
            </w:r>
          </w:p>
          <w:p>
            <w:pPr>
              <w:widowControl/>
              <w:snapToGrid w:val="0"/>
              <w:spacing w:line="360" w:lineRule="exact"/>
              <w:jc w:val="center"/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</w:rPr>
              <w:t>加分</w:t>
            </w:r>
          </w:p>
        </w:tc>
        <w:tc>
          <w:tcPr>
            <w:tcW w:w="4273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spacing w:line="320" w:lineRule="exact"/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color w:val="auto"/>
                <w:kern w:val="0"/>
                <w:sz w:val="24"/>
              </w:rPr>
              <w:t>在本区办理的有效期内的《广东省居住证》每满</w:t>
            </w:r>
            <w:r>
              <w:rPr>
                <w:rFonts w:ascii="仿宋_GB2312" w:eastAsia="仿宋_GB2312"/>
                <w:color w:val="auto"/>
                <w:kern w:val="0"/>
                <w:sz w:val="24"/>
              </w:rPr>
              <w:t>1</w:t>
            </w:r>
            <w:r>
              <w:rPr>
                <w:rFonts w:hint="eastAsia" w:ascii="仿宋_GB2312" w:eastAsia="仿宋_GB2312"/>
                <w:color w:val="auto"/>
                <w:kern w:val="0"/>
                <w:sz w:val="24"/>
              </w:rPr>
              <w:t>个自然月加</w:t>
            </w:r>
            <w:r>
              <w:rPr>
                <w:rFonts w:ascii="仿宋_GB2312" w:eastAsia="仿宋_GB2312"/>
                <w:color w:val="auto"/>
                <w:kern w:val="0"/>
                <w:sz w:val="24"/>
              </w:rPr>
              <w:t>0.2</w:t>
            </w:r>
            <w:r>
              <w:rPr>
                <w:rFonts w:hint="eastAsia" w:ascii="仿宋_GB2312" w:eastAsia="仿宋_GB2312"/>
                <w:color w:val="auto"/>
                <w:kern w:val="0"/>
                <w:sz w:val="24"/>
              </w:rPr>
              <w:t>分，不足</w:t>
            </w:r>
            <w:r>
              <w:rPr>
                <w:rFonts w:ascii="仿宋_GB2312" w:eastAsia="仿宋_GB2312"/>
                <w:color w:val="auto"/>
                <w:kern w:val="0"/>
                <w:sz w:val="24"/>
              </w:rPr>
              <w:t>1</w:t>
            </w:r>
            <w:r>
              <w:rPr>
                <w:rFonts w:hint="eastAsia" w:ascii="仿宋_GB2312" w:eastAsia="仿宋_GB2312"/>
                <w:color w:val="auto"/>
                <w:kern w:val="0"/>
                <w:sz w:val="24"/>
              </w:rPr>
              <w:t>月的不算分，最高不超过</w:t>
            </w:r>
            <w:r>
              <w:rPr>
                <w:rFonts w:ascii="仿宋_GB2312" w:eastAsia="仿宋_GB2312"/>
                <w:color w:val="auto"/>
                <w:kern w:val="0"/>
                <w:sz w:val="24"/>
              </w:rPr>
              <w:t>8</w:t>
            </w:r>
            <w:r>
              <w:rPr>
                <w:rFonts w:hint="eastAsia" w:ascii="仿宋_GB2312" w:eastAsia="仿宋_GB2312"/>
                <w:color w:val="auto"/>
                <w:kern w:val="0"/>
                <w:sz w:val="24"/>
              </w:rPr>
              <w:t>分。</w:t>
            </w:r>
          </w:p>
        </w:tc>
        <w:tc>
          <w:tcPr>
            <w:tcW w:w="2543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spacing w:line="320" w:lineRule="exact"/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</w:rPr>
              <w:t>以“广州市来穗人员服务管理信息系统查询”为准。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4" w:hRule="atLeast"/>
          <w:jc w:val="center"/>
        </w:trPr>
        <w:tc>
          <w:tcPr>
            <w:tcW w:w="70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6"/>
              <w:spacing w:before="0" w:beforeAutospacing="0" w:after="0" w:afterAutospacing="0" w:line="240" w:lineRule="atLeast"/>
              <w:jc w:val="center"/>
              <w:rPr>
                <w:rFonts w:ascii="仿宋_GB2312" w:hAnsi="Calibri"/>
                <w:color w:val="auto"/>
              </w:rPr>
            </w:pPr>
            <w:r>
              <w:rPr>
                <w:rFonts w:ascii="仿宋_GB2312" w:hAnsi="Calibri"/>
                <w:color w:val="auto"/>
              </w:rPr>
              <w:t>3</w:t>
            </w:r>
          </w:p>
        </w:tc>
        <w:tc>
          <w:tcPr>
            <w:tcW w:w="1404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</w:rPr>
              <w:t>学籍加分</w:t>
            </w:r>
          </w:p>
        </w:tc>
        <w:tc>
          <w:tcPr>
            <w:tcW w:w="4273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spacing w:line="320" w:lineRule="exact"/>
              <w:ind w:left="0" w:leftChars="0" w:firstLine="420" w:firstLineChars="175"/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  <w:t>1.</w:t>
            </w:r>
            <w:r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</w:rPr>
              <w:t>幼儿园。申请人随迁子女当年在本区幼儿园毕业申请入读小学一年级，在本区公办或民办幼儿园接受教育每满一学期加</w:t>
            </w:r>
            <w:r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</w:rPr>
              <w:t>分，不足一学期的不算分，最高分</w:t>
            </w:r>
            <w:r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  <w:t>6</w:t>
            </w:r>
            <w:r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</w:rPr>
              <w:t>分。</w:t>
            </w:r>
          </w:p>
          <w:p>
            <w:pPr>
              <w:widowControl/>
              <w:snapToGrid w:val="0"/>
              <w:spacing w:line="320" w:lineRule="exact"/>
              <w:ind w:left="0" w:leftChars="0" w:firstLine="420" w:firstLineChars="175"/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  <w:t>2.</w:t>
            </w:r>
            <w:r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</w:rPr>
              <w:t>小学。申请人随迁子女当年在本区小学毕业申请入读初中一年级，在本区公办或民办小学接受教育每满一学期加</w:t>
            </w:r>
            <w:r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  <w:t>0.5</w:t>
            </w:r>
            <w:r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</w:rPr>
              <w:t>分，不足一学期的不算分，最高分</w:t>
            </w:r>
            <w:r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  <w:t>6</w:t>
            </w:r>
            <w:r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</w:rPr>
              <w:t>分。</w:t>
            </w:r>
          </w:p>
        </w:tc>
        <w:tc>
          <w:tcPr>
            <w:tcW w:w="2543" w:type="dxa"/>
            <w:tcBorders>
              <w:left w:val="nil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spacing w:line="320" w:lineRule="exact"/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  <w:t xml:space="preserve">    1.</w:t>
            </w:r>
            <w:r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</w:rPr>
              <w:t>幼儿园学籍以全国学前教育管理信息系统数据为准。</w:t>
            </w:r>
          </w:p>
          <w:p>
            <w:pPr>
              <w:widowControl/>
              <w:snapToGrid w:val="0"/>
              <w:spacing w:line="320" w:lineRule="exact"/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ascii="仿宋_GB2312" w:eastAsia="仿宋_GB2312"/>
                <w:color w:val="auto"/>
                <w:kern w:val="0"/>
                <w:sz w:val="24"/>
                <w:szCs w:val="24"/>
              </w:rPr>
              <w:t xml:space="preserve">    2.</w:t>
            </w:r>
            <w:r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</w:rPr>
              <w:t>小学学籍以广州市学籍系统数据为准。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寒蝉团圆圆">
    <w:panose1 w:val="00010000000000000000"/>
    <w:charset w:val="86"/>
    <w:family w:val="auto"/>
    <w:pitch w:val="default"/>
    <w:sig w:usb0="00000001" w:usb1="08000000" w:usb2="0000000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_GBK">
    <w:altName w:val="Arial Unicode MS"/>
    <w:panose1 w:val="02000000000000000000"/>
    <w:charset w:val="86"/>
    <w:family w:val="script"/>
    <w:pitch w:val="default"/>
    <w:sig w:usb0="00000000" w:usb1="00000000" w:usb2="00082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ZiMmJmZGM0MTIyYmM1NjNmZDM1YjQ5OGU3NzY1ZjYifQ=="/>
  </w:docVars>
  <w:rsids>
    <w:rsidRoot w:val="4F7B704F"/>
    <w:rsid w:val="13110DD5"/>
    <w:rsid w:val="14100CF8"/>
    <w:rsid w:val="1516401F"/>
    <w:rsid w:val="1FA272E4"/>
    <w:rsid w:val="1FCB7383"/>
    <w:rsid w:val="204D5FEA"/>
    <w:rsid w:val="2A9A5EFB"/>
    <w:rsid w:val="2F2B238C"/>
    <w:rsid w:val="31971E58"/>
    <w:rsid w:val="42621029"/>
    <w:rsid w:val="43155968"/>
    <w:rsid w:val="4BC74904"/>
    <w:rsid w:val="4F7B704F"/>
    <w:rsid w:val="6336169E"/>
    <w:rsid w:val="6429154F"/>
    <w:rsid w:val="69A41463"/>
    <w:rsid w:val="6E382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3"/>
    <w:next w:val="3"/>
    <w:autoRedefine/>
    <w:qFormat/>
    <w:uiPriority w:val="0"/>
    <w:pPr>
      <w:keepNext w:val="0"/>
      <w:keepLines w:val="0"/>
      <w:spacing w:before="100" w:beforeLines="0" w:beforeAutospacing="0" w:after="100" w:afterLines="0" w:afterAutospacing="0" w:line="240" w:lineRule="auto"/>
      <w:ind w:left="0" w:leftChars="0"/>
      <w:jc w:val="left"/>
      <w:outlineLvl w:val="0"/>
    </w:pPr>
    <w:rPr>
      <w:rFonts w:eastAsia="寒蝉团圆圆" w:cs="Times New Roman" w:asciiTheme="minorAscii" w:hAnsiTheme="minorAscii"/>
      <w:b/>
      <w:kern w:val="44"/>
      <w:sz w:val="28"/>
      <w:szCs w:val="28"/>
    </w:rPr>
  </w:style>
  <w:style w:type="paragraph" w:styleId="4">
    <w:name w:val="heading 2"/>
    <w:basedOn w:val="5"/>
    <w:next w:val="5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寒蝉团圆圆" w:cs="Times New Roman"/>
      <w:sz w:val="28"/>
      <w:szCs w:val="22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autoRedefine/>
    <w:qFormat/>
    <w:uiPriority w:val="0"/>
    <w:pPr>
      <w:spacing w:after="120" w:afterLines="0" w:afterAutospacing="0"/>
    </w:pPr>
  </w:style>
  <w:style w:type="paragraph" w:styleId="5">
    <w:name w:val="Body Text 2"/>
    <w:basedOn w:val="1"/>
    <w:uiPriority w:val="0"/>
    <w:pPr>
      <w:spacing w:after="120" w:afterLines="0" w:afterAutospacing="0" w:line="480" w:lineRule="auto"/>
    </w:pPr>
  </w:style>
  <w:style w:type="paragraph" w:styleId="6">
    <w:name w:val="Normal (Web)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仿宋_GB2312" w:cs="宋体"/>
      <w:spacing w:val="16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2024-04-02T01:57:00Z</dcterms:created>
  <dc:creator>东方黑子</dc:creator>
  <cp:lastModifiedBy>东方黑子</cp:lastModifiedBy>
  <dcterms:modified xsi:type="dcterms:W3CDTF">2024-04-02T01:58:38Z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E064707A1EA84909ACE1CB65143D43DB_13</vt:lpwstr>
  </property>
</Properties>
</file>