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60" w:lineRule="exact"/>
        <w:jc w:val="center"/>
        <w:rPr>
          <w:rFonts w:hint="eastAsia" w:ascii="微软雅黑" w:hAnsi="微软雅黑" w:eastAsia="微软雅黑" w:cs="微软雅黑"/>
          <w:color w:val="auto"/>
          <w:sz w:val="44"/>
          <w:szCs w:val="44"/>
        </w:rPr>
      </w:pPr>
      <w:bookmarkStart w:id="0" w:name="_GoBack"/>
      <w:r>
        <w:rPr>
          <w:rFonts w:hint="eastAsia" w:ascii="微软雅黑" w:hAnsi="微软雅黑" w:eastAsia="微软雅黑" w:cs="微软雅黑"/>
          <w:color w:val="auto"/>
          <w:sz w:val="44"/>
          <w:szCs w:val="44"/>
        </w:rPr>
        <w:t>黄埔区202</w:t>
      </w:r>
      <w:r>
        <w:rPr>
          <w:rFonts w:hint="eastAsia" w:ascii="微软雅黑" w:hAnsi="微软雅黑" w:eastAsia="微软雅黑" w:cs="微软雅黑"/>
          <w:color w:val="auto"/>
          <w:sz w:val="44"/>
          <w:szCs w:val="44"/>
          <w:lang w:val="en-US" w:eastAsia="zh-CN"/>
        </w:rPr>
        <w:t>4</w:t>
      </w:r>
      <w:r>
        <w:rPr>
          <w:rFonts w:hint="eastAsia" w:ascii="微软雅黑" w:hAnsi="微软雅黑" w:eastAsia="微软雅黑" w:cs="微软雅黑"/>
          <w:color w:val="auto"/>
          <w:sz w:val="44"/>
          <w:szCs w:val="44"/>
        </w:rPr>
        <w:t>年来穗人员随迁子女积分制入学</w:t>
      </w:r>
    </w:p>
    <w:p>
      <w:pPr>
        <w:spacing w:line="460" w:lineRule="exact"/>
        <w:jc w:val="center"/>
        <w:rPr>
          <w:rFonts w:hint="eastAsia" w:ascii="微软雅黑" w:hAnsi="微软雅黑" w:eastAsia="微软雅黑" w:cs="微软雅黑"/>
          <w:color w:val="auto"/>
          <w:sz w:val="44"/>
          <w:szCs w:val="44"/>
        </w:rPr>
      </w:pPr>
      <w:r>
        <w:rPr>
          <w:rFonts w:hint="eastAsia" w:ascii="微软雅黑" w:hAnsi="微软雅黑" w:eastAsia="微软雅黑" w:cs="微软雅黑"/>
          <w:color w:val="auto"/>
          <w:sz w:val="44"/>
          <w:szCs w:val="44"/>
        </w:rPr>
        <w:t>各单位审核咨询电话</w:t>
      </w:r>
    </w:p>
    <w:bookmarkEnd w:id="0"/>
    <w:tbl>
      <w:tblPr>
        <w:tblStyle w:val="7"/>
        <w:tblW w:w="9479" w:type="dxa"/>
        <w:tblInd w:w="91" w:type="dxa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057"/>
        <w:gridCol w:w="4574"/>
        <w:gridCol w:w="2848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6" w:hRule="atLeast"/>
        </w:trPr>
        <w:tc>
          <w:tcPr>
            <w:tcW w:w="20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ascii="仿宋_GB2312" w:hAnsi="宋体" w:eastAsia="仿宋_GB2312" w:cs="仿宋_GB2312"/>
                <w:b/>
                <w:color w:val="auto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b/>
                <w:color w:val="auto"/>
                <w:sz w:val="24"/>
                <w:szCs w:val="24"/>
              </w:rPr>
              <w:t>单位</w:t>
            </w:r>
          </w:p>
        </w:tc>
        <w:tc>
          <w:tcPr>
            <w:tcW w:w="457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ascii="仿宋_GB2312" w:hAnsi="宋体" w:eastAsia="仿宋_GB2312" w:cs="仿宋_GB2312"/>
                <w:b/>
                <w:color w:val="auto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b/>
                <w:color w:val="auto"/>
                <w:sz w:val="24"/>
                <w:szCs w:val="24"/>
              </w:rPr>
              <w:t>审核业务</w:t>
            </w:r>
          </w:p>
        </w:tc>
        <w:tc>
          <w:tcPr>
            <w:tcW w:w="284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ascii="仿宋_GB2312" w:hAnsi="宋体" w:eastAsia="仿宋_GB2312" w:cs="仿宋_GB2312"/>
                <w:b/>
                <w:color w:val="auto"/>
                <w:sz w:val="28"/>
                <w:szCs w:val="28"/>
              </w:rPr>
            </w:pPr>
            <w:r>
              <w:rPr>
                <w:rFonts w:hint="eastAsia" w:ascii="仿宋_GB2312" w:hAnsi="宋体" w:eastAsia="仿宋_GB2312" w:cs="仿宋_GB2312"/>
                <w:b/>
                <w:color w:val="auto"/>
                <w:sz w:val="24"/>
                <w:szCs w:val="24"/>
              </w:rPr>
              <w:t>咨询电话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42" w:hRule="atLeast"/>
        </w:trPr>
        <w:tc>
          <w:tcPr>
            <w:tcW w:w="205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仿宋_GB2312" w:hAnsi="宋体" w:eastAsia="仿宋_GB2312" w:cs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auto"/>
                <w:sz w:val="24"/>
                <w:szCs w:val="24"/>
              </w:rPr>
              <w:t>区教育行政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ascii="仿宋_GB2312" w:hAnsi="宋体" w:eastAsia="仿宋_GB2312" w:cs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auto"/>
                <w:sz w:val="24"/>
                <w:szCs w:val="24"/>
              </w:rPr>
              <w:t>主管部门</w:t>
            </w:r>
          </w:p>
        </w:tc>
        <w:tc>
          <w:tcPr>
            <w:tcW w:w="4574" w:type="dxa"/>
            <w:tcBorders>
              <w:top w:val="nil"/>
              <w:left w:val="nil"/>
              <w:bottom w:val="single" w:color="auto" w:sz="4" w:space="0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320" w:lineRule="exact"/>
              <w:jc w:val="both"/>
              <w:textAlignment w:val="auto"/>
              <w:rPr>
                <w:rFonts w:ascii="仿宋_GB2312" w:hAnsi="宋体" w:eastAsia="仿宋_GB2312" w:cs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auto"/>
                <w:sz w:val="24"/>
                <w:szCs w:val="24"/>
              </w:rPr>
              <w:t>公布招生计划、学位分配，指导各小学、幼儿园审核学籍</w:t>
            </w:r>
          </w:p>
        </w:tc>
        <w:tc>
          <w:tcPr>
            <w:tcW w:w="284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仿宋_GB2312" w:hAnsi="宋体" w:eastAsia="仿宋_GB2312" w:cs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auto"/>
                <w:sz w:val="24"/>
                <w:szCs w:val="24"/>
              </w:rPr>
              <w:t>82111495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仿宋_GB2312" w:hAnsi="宋体" w:eastAsia="仿宋_GB2312" w:cs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auto"/>
                <w:sz w:val="24"/>
                <w:szCs w:val="24"/>
              </w:rPr>
              <w:t>（小学招生）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仿宋_GB2312" w:hAnsi="宋体" w:eastAsia="仿宋_GB2312" w:cs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auto"/>
                <w:sz w:val="24"/>
                <w:szCs w:val="24"/>
              </w:rPr>
              <w:t>82111371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仿宋_GB2312" w:hAnsi="宋体" w:eastAsia="仿宋_GB2312" w:cs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auto"/>
                <w:sz w:val="24"/>
                <w:szCs w:val="24"/>
              </w:rPr>
              <w:t>（初中招生）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仿宋_GB2312" w:hAnsi="宋体" w:eastAsia="仿宋_GB2312" w:cs="仿宋_GB2312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宋体" w:eastAsia="仿宋_GB2312" w:cs="仿宋_GB2312"/>
                <w:color w:val="auto"/>
                <w:sz w:val="24"/>
                <w:szCs w:val="24"/>
                <w:lang w:val="en-US" w:eastAsia="zh-CN"/>
              </w:rPr>
              <w:t>82116638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仿宋_GB2312" w:hAnsi="宋体" w:eastAsia="仿宋_GB2312" w:cs="仿宋_GB2312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宋体" w:eastAsia="仿宋_GB2312" w:cs="仿宋_GB2312"/>
                <w:color w:val="auto"/>
                <w:sz w:val="24"/>
                <w:szCs w:val="24"/>
                <w:lang w:val="en-US" w:eastAsia="zh-CN"/>
              </w:rPr>
              <w:t>（幼儿园招生）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ascii="仿宋_GB2312" w:hAnsi="宋体" w:eastAsia="仿宋_GB2312" w:cs="仿宋_GB2312"/>
                <w:color w:val="auto"/>
                <w:sz w:val="24"/>
                <w:szCs w:val="24"/>
              </w:rPr>
            </w:pPr>
            <w:r>
              <w:rPr>
                <w:rFonts w:ascii="仿宋_GB2312" w:hAnsi="宋体" w:eastAsia="仿宋_GB2312" w:cs="仿宋_GB2312"/>
                <w:color w:val="auto"/>
                <w:sz w:val="24"/>
                <w:szCs w:val="24"/>
              </w:rPr>
              <w:t>82116627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仿宋_GB2312" w:hAnsi="宋体" w:eastAsia="仿宋_GB2312" w:cs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auto"/>
                <w:sz w:val="24"/>
                <w:szCs w:val="24"/>
              </w:rPr>
              <w:t>（小学学籍）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仿宋_GB2312" w:hAnsi="宋体" w:eastAsia="仿宋_GB2312" w:cs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auto"/>
                <w:sz w:val="24"/>
                <w:szCs w:val="24"/>
              </w:rPr>
              <w:t>82181220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仿宋_GB2312" w:hAnsi="宋体" w:eastAsia="仿宋_GB2312" w:cs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auto"/>
                <w:sz w:val="24"/>
                <w:szCs w:val="24"/>
              </w:rPr>
              <w:t>（幼儿园学籍）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0" w:hRule="atLeast"/>
        </w:trPr>
        <w:tc>
          <w:tcPr>
            <w:tcW w:w="205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ascii="仿宋_GB2312" w:hAnsi="宋体" w:eastAsia="仿宋_GB2312" w:cs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auto"/>
                <w:sz w:val="24"/>
                <w:szCs w:val="24"/>
              </w:rPr>
              <w:t>区来穗人员</w:t>
            </w:r>
            <w:r>
              <w:rPr>
                <w:rFonts w:hint="eastAsia" w:ascii="仿宋_GB2312" w:hAnsi="宋体" w:eastAsia="仿宋_GB2312" w:cs="仿宋_GB2312"/>
                <w:color w:val="auto"/>
                <w:sz w:val="24"/>
                <w:szCs w:val="24"/>
                <w:lang w:val="en-US" w:eastAsia="zh-CN"/>
              </w:rPr>
              <w:t>行政</w:t>
            </w:r>
            <w:r>
              <w:rPr>
                <w:rFonts w:hint="eastAsia" w:ascii="仿宋_GB2312" w:hAnsi="宋体" w:eastAsia="仿宋_GB2312" w:cs="仿宋_GB2312"/>
                <w:color w:val="auto"/>
                <w:sz w:val="24"/>
                <w:szCs w:val="24"/>
              </w:rPr>
              <w:t>主管部门</w:t>
            </w:r>
          </w:p>
        </w:tc>
        <w:tc>
          <w:tcPr>
            <w:tcW w:w="4574" w:type="dxa"/>
            <w:tcBorders>
              <w:top w:val="nil"/>
              <w:left w:val="nil"/>
              <w:bottom w:val="single" w:color="auto" w:sz="4" w:space="0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320" w:lineRule="exact"/>
              <w:jc w:val="both"/>
              <w:textAlignment w:val="auto"/>
              <w:rPr>
                <w:rFonts w:ascii="仿宋_GB2312" w:hAnsi="宋体" w:eastAsia="仿宋_GB2312" w:cs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auto"/>
                <w:sz w:val="24"/>
                <w:szCs w:val="24"/>
              </w:rPr>
              <w:t>计算汇总积分、公示、公布排名</w:t>
            </w:r>
          </w:p>
        </w:tc>
        <w:tc>
          <w:tcPr>
            <w:tcW w:w="284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仿宋_GB2312" w:hAnsi="宋体" w:eastAsia="仿宋_GB2312" w:cs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auto"/>
                <w:sz w:val="24"/>
                <w:szCs w:val="24"/>
              </w:rPr>
              <w:t>82378907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6" w:hRule="atLeast"/>
        </w:trPr>
        <w:tc>
          <w:tcPr>
            <w:tcW w:w="2057" w:type="dxa"/>
            <w:vMerge w:val="restart"/>
            <w:tcBorders>
              <w:top w:val="nil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ascii="仿宋_GB2312" w:hAnsi="宋体" w:eastAsia="仿宋_GB2312" w:cs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auto"/>
                <w:sz w:val="24"/>
                <w:szCs w:val="24"/>
              </w:rPr>
              <w:t>区</w:t>
            </w:r>
            <w:r>
              <w:rPr>
                <w:rFonts w:hint="eastAsia" w:ascii="仿宋_GB2312" w:hAnsi="宋体" w:eastAsia="仿宋_GB2312" w:cs="仿宋_GB2312"/>
                <w:color w:val="auto"/>
                <w:sz w:val="24"/>
                <w:szCs w:val="24"/>
                <w:lang w:eastAsia="zh-CN"/>
              </w:rPr>
              <w:t>工业</w:t>
            </w:r>
            <w:r>
              <w:rPr>
                <w:rFonts w:hint="eastAsia" w:ascii="仿宋_GB2312" w:hAnsi="宋体" w:eastAsia="仿宋_GB2312" w:cs="仿宋_GB2312"/>
                <w:color w:val="auto"/>
                <w:sz w:val="24"/>
                <w:szCs w:val="24"/>
              </w:rPr>
              <w:t>和信息化行政主管部门</w:t>
            </w:r>
          </w:p>
        </w:tc>
        <w:tc>
          <w:tcPr>
            <w:tcW w:w="4574" w:type="dxa"/>
            <w:tcBorders>
              <w:top w:val="nil"/>
              <w:left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320" w:lineRule="exact"/>
              <w:jc w:val="both"/>
              <w:textAlignment w:val="auto"/>
              <w:rPr>
                <w:rFonts w:ascii="仿宋_GB2312" w:hAnsi="宋体" w:eastAsia="仿宋_GB2312" w:cs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auto"/>
                <w:sz w:val="24"/>
                <w:szCs w:val="24"/>
              </w:rPr>
              <w:t>财政纳税区库留成前200名的工业企业</w:t>
            </w:r>
          </w:p>
        </w:tc>
        <w:tc>
          <w:tcPr>
            <w:tcW w:w="2848" w:type="dxa"/>
            <w:vMerge w:val="restart"/>
            <w:tcBorders>
              <w:top w:val="nil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仿宋_GB2312" w:hAnsi="宋体" w:eastAsia="仿宋_GB2312" w:cs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  <w:t>82108786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8" w:hRule="atLeast"/>
        </w:trPr>
        <w:tc>
          <w:tcPr>
            <w:tcW w:w="2057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仿宋_GB2312" w:hAnsi="宋体" w:eastAsia="仿宋_GB2312" w:cs="仿宋_GB2312"/>
                <w:color w:val="auto"/>
                <w:sz w:val="24"/>
                <w:szCs w:val="24"/>
              </w:rPr>
            </w:pPr>
          </w:p>
        </w:tc>
        <w:tc>
          <w:tcPr>
            <w:tcW w:w="4574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320" w:lineRule="exact"/>
              <w:jc w:val="both"/>
              <w:textAlignment w:val="auto"/>
              <w:rPr>
                <w:rFonts w:hint="eastAsia" w:ascii="仿宋_GB2312" w:hAnsi="宋体" w:eastAsia="仿宋_GB2312" w:cs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auto"/>
                <w:sz w:val="24"/>
                <w:szCs w:val="24"/>
              </w:rPr>
              <w:t>本区民营企业或中小企业的中高级管理人员或技术骨干</w:t>
            </w:r>
          </w:p>
        </w:tc>
        <w:tc>
          <w:tcPr>
            <w:tcW w:w="2848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仿宋_GB2312" w:hAnsi="宋体" w:eastAsia="仿宋_GB2312" w:cs="仿宋_GB2312"/>
                <w:color w:val="auto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0" w:hRule="atLeast"/>
        </w:trPr>
        <w:tc>
          <w:tcPr>
            <w:tcW w:w="205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仿宋_GB2312" w:hAnsi="宋体" w:eastAsia="仿宋_GB2312" w:cs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auto"/>
                <w:sz w:val="24"/>
                <w:szCs w:val="24"/>
              </w:rPr>
              <w:t>区投资促进行政主管部门</w:t>
            </w:r>
          </w:p>
        </w:tc>
        <w:tc>
          <w:tcPr>
            <w:tcW w:w="4574" w:type="dxa"/>
            <w:tcBorders>
              <w:top w:val="nil"/>
              <w:left w:val="nil"/>
              <w:bottom w:val="single" w:color="auto" w:sz="4" w:space="0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320" w:lineRule="exact"/>
              <w:jc w:val="both"/>
              <w:textAlignment w:val="auto"/>
              <w:rPr>
                <w:rFonts w:hint="eastAsia" w:ascii="仿宋_GB2312" w:hAnsi="宋体" w:eastAsia="仿宋_GB2312" w:cs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auto"/>
                <w:sz w:val="24"/>
                <w:szCs w:val="24"/>
              </w:rPr>
              <w:t>本区重点招商引资企业的高级管理人员或技术骨干</w:t>
            </w:r>
          </w:p>
        </w:tc>
        <w:tc>
          <w:tcPr>
            <w:tcW w:w="284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仿宋_GB2312" w:hAnsi="宋体" w:eastAsia="仿宋_GB2312" w:cs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  <w:t>82111246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0" w:hRule="atLeast"/>
        </w:trPr>
        <w:tc>
          <w:tcPr>
            <w:tcW w:w="2057" w:type="dxa"/>
            <w:vMerge w:val="restart"/>
            <w:tcBorders>
              <w:top w:val="nil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ascii="仿宋_GB2312" w:hAnsi="宋体" w:eastAsia="仿宋_GB2312" w:cs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auto"/>
                <w:sz w:val="24"/>
                <w:szCs w:val="24"/>
              </w:rPr>
              <w:t>区商务行政主管部门</w:t>
            </w:r>
          </w:p>
        </w:tc>
        <w:tc>
          <w:tcPr>
            <w:tcW w:w="4574" w:type="dxa"/>
            <w:tcBorders>
              <w:top w:val="nil"/>
              <w:left w:val="single" w:color="auto" w:sz="4" w:space="0"/>
              <w:bottom w:val="single" w:color="000000" w:sz="4" w:space="0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320" w:lineRule="exact"/>
              <w:jc w:val="both"/>
              <w:textAlignment w:val="auto"/>
              <w:rPr>
                <w:rFonts w:ascii="仿宋_GB2312" w:hAnsi="宋体" w:eastAsia="仿宋_GB2312" w:cs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auto"/>
                <w:sz w:val="24"/>
                <w:szCs w:val="24"/>
              </w:rPr>
              <w:t>财政纳税区库留成前200名的服务业企业</w:t>
            </w:r>
          </w:p>
        </w:tc>
        <w:tc>
          <w:tcPr>
            <w:tcW w:w="2848" w:type="dxa"/>
            <w:vMerge w:val="restart"/>
            <w:tcBorders>
              <w:top w:val="nil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lang w:val="en-US" w:eastAsia="zh-CN"/>
              </w:rPr>
              <w:t>82112176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lang w:val="en-US" w:eastAsia="zh-CN"/>
              </w:rPr>
              <w:t>（商贸业）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lang w:val="en-US" w:eastAsia="zh-CN"/>
              </w:rPr>
              <w:t>82111578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lang w:val="en-US" w:eastAsia="zh-CN"/>
              </w:rPr>
              <w:t>（商务服务业）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lang w:val="en-US" w:eastAsia="zh-CN"/>
              </w:rPr>
              <w:t>82113518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仿宋_GB2312" w:hAnsi="宋体" w:eastAsia="仿宋_GB2312" w:cs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lang w:val="en-US" w:eastAsia="zh-CN"/>
              </w:rPr>
              <w:t>（外贸）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90" w:hRule="atLeast"/>
        </w:trPr>
        <w:tc>
          <w:tcPr>
            <w:tcW w:w="2057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ascii="仿宋_GB2312" w:hAnsi="宋体" w:eastAsia="仿宋_GB2312" w:cs="仿宋_GB2312"/>
                <w:color w:val="auto"/>
                <w:sz w:val="24"/>
                <w:szCs w:val="24"/>
              </w:rPr>
            </w:pPr>
          </w:p>
        </w:tc>
        <w:tc>
          <w:tcPr>
            <w:tcW w:w="45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320" w:lineRule="exact"/>
              <w:jc w:val="both"/>
              <w:textAlignment w:val="auto"/>
              <w:rPr>
                <w:rFonts w:ascii="仿宋_GB2312" w:hAnsi="宋体" w:eastAsia="仿宋_GB2312" w:cs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auto"/>
                <w:sz w:val="24"/>
                <w:szCs w:val="24"/>
              </w:rPr>
              <w:t>本区民营企业或中小企业的中高级管理人员或技术骨干</w:t>
            </w:r>
          </w:p>
        </w:tc>
        <w:tc>
          <w:tcPr>
            <w:tcW w:w="2848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仿宋_GB2312" w:hAnsi="宋体" w:eastAsia="仿宋_GB2312" w:cs="仿宋_GB2312"/>
                <w:color w:val="auto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0" w:hRule="atLeast"/>
        </w:trPr>
        <w:tc>
          <w:tcPr>
            <w:tcW w:w="2057" w:type="dxa"/>
            <w:vMerge w:val="restart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ascii="仿宋_GB2312" w:hAnsi="宋体" w:eastAsia="仿宋_GB2312" w:cs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auto"/>
                <w:sz w:val="24"/>
                <w:szCs w:val="24"/>
              </w:rPr>
              <w:t>区科技行政主管部门</w:t>
            </w:r>
          </w:p>
        </w:tc>
        <w:tc>
          <w:tcPr>
            <w:tcW w:w="45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/>
              <w:snapToGrid/>
              <w:spacing w:line="320" w:lineRule="exact"/>
              <w:jc w:val="both"/>
              <w:textAlignment w:val="auto"/>
              <w:rPr>
                <w:rFonts w:ascii="仿宋_GB2312" w:hAnsi="宋体" w:eastAsia="仿宋_GB2312" w:cs="仿宋_GB2312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color w:val="auto"/>
                <w:sz w:val="24"/>
                <w:szCs w:val="24"/>
              </w:rPr>
              <w:t>财政纳税区库留成前200名的</w:t>
            </w:r>
            <w:r>
              <w:rPr>
                <w:rFonts w:hint="eastAsia" w:ascii="仿宋_GB2312" w:hAnsi="宋体" w:eastAsia="仿宋_GB2312" w:cs="仿宋_GB2312"/>
                <w:color w:val="auto"/>
                <w:sz w:val="24"/>
                <w:szCs w:val="24"/>
                <w:lang w:eastAsia="zh-CN"/>
              </w:rPr>
              <w:t>科技</w:t>
            </w:r>
            <w:r>
              <w:rPr>
                <w:rFonts w:hint="eastAsia" w:ascii="仿宋_GB2312" w:hAnsi="宋体" w:eastAsia="仿宋_GB2312" w:cs="仿宋_GB2312"/>
                <w:color w:val="auto"/>
                <w:sz w:val="24"/>
                <w:szCs w:val="24"/>
              </w:rPr>
              <w:t>企业</w:t>
            </w:r>
          </w:p>
        </w:tc>
        <w:tc>
          <w:tcPr>
            <w:tcW w:w="2848" w:type="dxa"/>
            <w:vMerge w:val="restart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lang w:val="en-US" w:eastAsia="zh-CN"/>
              </w:rPr>
              <w:t>32217562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lang w:val="en-US" w:eastAsia="zh-CN"/>
              </w:rPr>
              <w:t>(创新平台)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lang w:val="en-US" w:eastAsia="zh-CN"/>
              </w:rPr>
              <w:t>82111574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lang w:val="en-US" w:eastAsia="zh-CN"/>
              </w:rPr>
              <w:t>（领军人才）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lang w:val="en-US" w:eastAsia="zh-CN"/>
              </w:rPr>
              <w:t>82006769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仿宋_GB2312" w:hAnsi="宋体" w:eastAsia="仿宋_GB2312" w:cs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lang w:val="en-US" w:eastAsia="zh-CN"/>
              </w:rPr>
              <w:t>（研发50强、科技企业）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9" w:hRule="atLeast"/>
        </w:trPr>
        <w:tc>
          <w:tcPr>
            <w:tcW w:w="2057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仿宋_GB2312" w:hAnsi="宋体" w:eastAsia="仿宋_GB2312" w:cs="仿宋_GB2312"/>
                <w:color w:val="auto"/>
                <w:sz w:val="24"/>
                <w:szCs w:val="24"/>
              </w:rPr>
            </w:pPr>
          </w:p>
        </w:tc>
        <w:tc>
          <w:tcPr>
            <w:tcW w:w="45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/>
              <w:snapToGrid/>
              <w:spacing w:line="320" w:lineRule="exact"/>
              <w:jc w:val="both"/>
              <w:textAlignment w:val="auto"/>
              <w:rPr>
                <w:rFonts w:hint="eastAsia" w:ascii="仿宋_GB2312" w:hAnsi="宋体" w:eastAsia="仿宋_GB2312" w:cs="仿宋_GB2312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color w:val="auto"/>
                <w:sz w:val="24"/>
                <w:szCs w:val="24"/>
              </w:rPr>
              <w:t>本区民营企业或中小企业的中高级管理人员或技术骨干</w:t>
            </w:r>
          </w:p>
        </w:tc>
        <w:tc>
          <w:tcPr>
            <w:tcW w:w="2848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仿宋_GB2312" w:hAnsi="宋体" w:eastAsia="仿宋_GB2312" w:cs="仿宋_GB2312"/>
                <w:color w:val="auto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9" w:hRule="atLeast"/>
        </w:trPr>
        <w:tc>
          <w:tcPr>
            <w:tcW w:w="2057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仿宋_GB2312" w:hAnsi="宋体" w:eastAsia="仿宋_GB2312" w:cs="仿宋_GB2312"/>
                <w:color w:val="auto"/>
                <w:sz w:val="24"/>
                <w:szCs w:val="24"/>
              </w:rPr>
            </w:pPr>
          </w:p>
        </w:tc>
        <w:tc>
          <w:tcPr>
            <w:tcW w:w="45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/>
              <w:snapToGrid/>
              <w:spacing w:line="320" w:lineRule="exact"/>
              <w:jc w:val="both"/>
              <w:textAlignment w:val="auto"/>
              <w:rPr>
                <w:rFonts w:hint="eastAsia" w:ascii="仿宋_GB2312" w:hAnsi="宋体" w:eastAsia="仿宋_GB2312" w:cs="仿宋_GB2312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color w:val="auto"/>
                <w:sz w:val="24"/>
                <w:szCs w:val="24"/>
              </w:rPr>
              <w:t>本区重大科技创新平台的高级管理人员或技术骨干</w:t>
            </w:r>
          </w:p>
        </w:tc>
        <w:tc>
          <w:tcPr>
            <w:tcW w:w="2848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仿宋_GB2312" w:hAnsi="宋体" w:eastAsia="仿宋_GB2312" w:cs="仿宋_GB2312"/>
                <w:color w:val="auto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9" w:hRule="atLeast"/>
        </w:trPr>
        <w:tc>
          <w:tcPr>
            <w:tcW w:w="2057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ascii="仿宋_GB2312" w:hAnsi="宋体" w:eastAsia="仿宋_GB2312" w:cs="仿宋_GB2312"/>
                <w:color w:val="auto"/>
                <w:sz w:val="24"/>
                <w:szCs w:val="24"/>
              </w:rPr>
            </w:pPr>
          </w:p>
        </w:tc>
        <w:tc>
          <w:tcPr>
            <w:tcW w:w="45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/>
              <w:snapToGrid/>
              <w:spacing w:line="320" w:lineRule="exact"/>
              <w:jc w:val="both"/>
              <w:textAlignment w:val="auto"/>
              <w:rPr>
                <w:rFonts w:hint="eastAsia" w:ascii="仿宋_GB2312" w:hAnsi="宋体" w:eastAsia="仿宋_GB2312" w:cs="仿宋_GB2312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color w:val="auto"/>
                <w:sz w:val="24"/>
                <w:szCs w:val="24"/>
              </w:rPr>
              <w:t>创新创业领军人才企业的高级管理人员或技术骨干</w:t>
            </w:r>
          </w:p>
        </w:tc>
        <w:tc>
          <w:tcPr>
            <w:tcW w:w="2848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仿宋_GB2312" w:hAnsi="宋体" w:eastAsia="仿宋_GB2312" w:cs="仿宋_GB2312"/>
                <w:color w:val="auto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9" w:hRule="atLeast"/>
        </w:trPr>
        <w:tc>
          <w:tcPr>
            <w:tcW w:w="2057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仿宋_GB2312" w:hAnsi="宋体" w:eastAsia="仿宋_GB2312" w:cs="仿宋_GB2312"/>
                <w:color w:val="auto"/>
                <w:sz w:val="24"/>
                <w:szCs w:val="24"/>
              </w:rPr>
            </w:pPr>
          </w:p>
        </w:tc>
        <w:tc>
          <w:tcPr>
            <w:tcW w:w="45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/>
              <w:snapToGrid/>
              <w:spacing w:line="320" w:lineRule="exact"/>
              <w:jc w:val="both"/>
              <w:textAlignment w:val="auto"/>
              <w:rPr>
                <w:rFonts w:hint="eastAsia" w:ascii="仿宋_GB2312" w:hAnsi="宋体" w:eastAsia="仿宋_GB2312" w:cs="仿宋_GB2312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color w:val="auto"/>
                <w:sz w:val="24"/>
                <w:szCs w:val="24"/>
              </w:rPr>
              <w:t>研发投入增量50强规上企业的高级管理人员或技术骨干</w:t>
            </w:r>
          </w:p>
        </w:tc>
        <w:tc>
          <w:tcPr>
            <w:tcW w:w="2848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仿宋_GB2312" w:hAnsi="宋体" w:eastAsia="仿宋_GB2312" w:cs="仿宋_GB2312"/>
                <w:color w:val="auto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5" w:hRule="atLeast"/>
        </w:trPr>
        <w:tc>
          <w:tcPr>
            <w:tcW w:w="20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仿宋_GB2312" w:hAnsi="宋体" w:eastAsia="仿宋_GB2312" w:cs="仿宋_GB2312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color w:val="auto"/>
                <w:sz w:val="24"/>
                <w:szCs w:val="24"/>
              </w:rPr>
              <w:t>各街镇</w:t>
            </w:r>
          </w:p>
        </w:tc>
        <w:tc>
          <w:tcPr>
            <w:tcW w:w="45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320" w:lineRule="exact"/>
              <w:jc w:val="both"/>
              <w:textAlignment w:val="auto"/>
              <w:rPr>
                <w:rFonts w:hint="eastAsia" w:ascii="仿宋_GB2312" w:hAnsi="宋体" w:eastAsia="仿宋_GB2312" w:cs="仿宋_GB2312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color w:val="auto"/>
                <w:sz w:val="24"/>
                <w:szCs w:val="24"/>
              </w:rPr>
              <w:t>积分入学受理、资格初审，审核居住证等</w:t>
            </w:r>
          </w:p>
        </w:tc>
        <w:tc>
          <w:tcPr>
            <w:tcW w:w="28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仿宋_GB2312" w:hAnsi="宋体" w:eastAsia="仿宋_GB2312" w:cs="仿宋_GB2312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color w:val="auto"/>
                <w:sz w:val="24"/>
                <w:szCs w:val="24"/>
              </w:rPr>
              <w:t>具体见各街镇受理窗口咨询电话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寒蝉团圆圆">
    <w:panose1 w:val="00010000000000000000"/>
    <w:charset w:val="86"/>
    <w:family w:val="auto"/>
    <w:pitch w:val="default"/>
    <w:sig w:usb0="00000001" w:usb1="08000000" w:usb2="00000000" w:usb3="00000000" w:csb0="00040001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方正小标宋_GBK">
    <w:altName w:val="Arial Unicode MS"/>
    <w:panose1 w:val="02000000000000000000"/>
    <w:charset w:val="86"/>
    <w:family w:val="script"/>
    <w:pitch w:val="default"/>
    <w:sig w:usb0="00000000" w:usb1="00000000" w:usb2="00082016" w:usb3="00000000" w:csb0="00040001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zZiMmJmZGM0MTIyYmM1NjNmZDM1YjQ5OGU3NzY1ZjYifQ=="/>
  </w:docVars>
  <w:rsids>
    <w:rsidRoot w:val="4F7B704F"/>
    <w:rsid w:val="13110DD5"/>
    <w:rsid w:val="14100CF8"/>
    <w:rsid w:val="1516401F"/>
    <w:rsid w:val="1FA272E4"/>
    <w:rsid w:val="1FCB7383"/>
    <w:rsid w:val="204D5FEA"/>
    <w:rsid w:val="2A9A5EFB"/>
    <w:rsid w:val="2F2B238C"/>
    <w:rsid w:val="31971E58"/>
    <w:rsid w:val="42621029"/>
    <w:rsid w:val="43155968"/>
    <w:rsid w:val="4A3B4557"/>
    <w:rsid w:val="4BC74904"/>
    <w:rsid w:val="4F7B704F"/>
    <w:rsid w:val="6336169E"/>
    <w:rsid w:val="6429154F"/>
    <w:rsid w:val="69A41463"/>
    <w:rsid w:val="6E382D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2"/>
      <w:lang w:val="en-US" w:eastAsia="zh-CN" w:bidi="ar-SA"/>
    </w:rPr>
  </w:style>
  <w:style w:type="paragraph" w:styleId="2">
    <w:name w:val="heading 1"/>
    <w:basedOn w:val="3"/>
    <w:next w:val="3"/>
    <w:autoRedefine/>
    <w:qFormat/>
    <w:uiPriority w:val="0"/>
    <w:pPr>
      <w:keepNext w:val="0"/>
      <w:keepLines w:val="0"/>
      <w:spacing w:before="100" w:beforeLines="0" w:beforeAutospacing="0" w:after="100" w:afterLines="0" w:afterAutospacing="0" w:line="240" w:lineRule="auto"/>
      <w:ind w:left="0" w:leftChars="0"/>
      <w:jc w:val="left"/>
      <w:outlineLvl w:val="0"/>
    </w:pPr>
    <w:rPr>
      <w:rFonts w:eastAsia="寒蝉团圆圆" w:cs="Times New Roman" w:asciiTheme="minorAscii" w:hAnsiTheme="minorAscii"/>
      <w:b/>
      <w:kern w:val="44"/>
      <w:sz w:val="28"/>
      <w:szCs w:val="28"/>
    </w:rPr>
  </w:style>
  <w:style w:type="paragraph" w:styleId="4">
    <w:name w:val="heading 2"/>
    <w:basedOn w:val="5"/>
    <w:next w:val="5"/>
    <w:semiHidden/>
    <w:unhideWhenUsed/>
    <w:qFormat/>
    <w:uiPriority w:val="0"/>
    <w:pPr>
      <w:keepNext/>
      <w:keepLines/>
      <w:spacing w:before="260" w:beforeLines="0" w:beforeAutospacing="0" w:after="260" w:afterLines="0" w:afterAutospacing="0" w:line="413" w:lineRule="auto"/>
      <w:outlineLvl w:val="1"/>
    </w:pPr>
    <w:rPr>
      <w:rFonts w:ascii="Arial" w:hAnsi="Arial" w:eastAsia="寒蝉团圆圆" w:cs="Times New Roman"/>
      <w:sz w:val="28"/>
      <w:szCs w:val="22"/>
    </w:rPr>
  </w:style>
  <w:style w:type="character" w:default="1" w:styleId="8">
    <w:name w:val="Default Paragraph Font"/>
    <w:semiHidden/>
    <w:uiPriority w:val="0"/>
  </w:style>
  <w:style w:type="table" w:default="1" w:styleId="7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ody Text"/>
    <w:basedOn w:val="1"/>
    <w:autoRedefine/>
    <w:qFormat/>
    <w:uiPriority w:val="0"/>
    <w:pPr>
      <w:spacing w:after="120" w:afterLines="0" w:afterAutospacing="0"/>
    </w:pPr>
  </w:style>
  <w:style w:type="paragraph" w:styleId="5">
    <w:name w:val="Body Text 2"/>
    <w:basedOn w:val="1"/>
    <w:uiPriority w:val="0"/>
    <w:pPr>
      <w:spacing w:after="120" w:afterLines="0" w:afterAutospacing="0" w:line="480" w:lineRule="auto"/>
    </w:pPr>
  </w:style>
  <w:style w:type="paragraph" w:styleId="6">
    <w:name w:val="Normal (Web)"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仿宋_GB2312" w:cs="宋体"/>
      <w:spacing w:val="16"/>
      <w:kern w:val="0"/>
      <w:sz w:val="24"/>
      <w:szCs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Office_12.1.0.16250_F1E327BC-269C-435d-A152-05C5408002CA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2024-04-02T01:57:00Z</dcterms:created>
  <dc:creator>东方黑子</dc:creator>
  <cp:lastModifiedBy>东方黑子</cp:lastModifiedBy>
  <dcterms:modified xsi:type="dcterms:W3CDTF">2024-04-02T01:59:00Z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2052-12.1.0.16250</vt:lpwstr>
  </property>
  <property fmtid="{D5CDD505-2E9C-101B-9397-08002B2CF9AE}" pid="3" name="ICV">
    <vt:lpwstr>16E6F5F0F9AA4BB38A8FD36B80492B71_13</vt:lpwstr>
  </property>
</Properties>
</file>